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6C" w:rsidRPr="00606723" w:rsidRDefault="004B063A" w:rsidP="004B063A">
      <w:pPr>
        <w:jc w:val="right"/>
        <w:rPr>
          <w:rFonts w:ascii="Times New Roman" w:hAnsi="Times New Roman"/>
          <w:i/>
          <w:sz w:val="24"/>
          <w:szCs w:val="24"/>
          <w:lang w:val="ro-RO"/>
        </w:rPr>
      </w:pPr>
      <w:r w:rsidRPr="00606723">
        <w:rPr>
          <w:rFonts w:ascii="Times New Roman" w:hAnsi="Times New Roman"/>
          <w:i/>
          <w:sz w:val="24"/>
          <w:szCs w:val="24"/>
          <w:lang w:val="ro-RO"/>
        </w:rPr>
        <w:t>Proiect</w:t>
      </w:r>
    </w:p>
    <w:p w:rsidR="004B063A" w:rsidRPr="00606723" w:rsidRDefault="004B063A" w:rsidP="004B063A">
      <w:pPr>
        <w:spacing w:after="0" w:line="240" w:lineRule="auto"/>
        <w:jc w:val="center"/>
        <w:rPr>
          <w:rFonts w:ascii="Times New Roman" w:hAnsi="Times New Roman"/>
          <w:b/>
          <w:sz w:val="24"/>
          <w:szCs w:val="24"/>
          <w:lang w:val="ro-RO"/>
        </w:rPr>
      </w:pPr>
      <w:r w:rsidRPr="00606723">
        <w:rPr>
          <w:rFonts w:ascii="Times New Roman" w:hAnsi="Times New Roman"/>
          <w:b/>
          <w:sz w:val="24"/>
          <w:szCs w:val="24"/>
          <w:lang w:val="ro-RO"/>
        </w:rPr>
        <w:t>LEGE</w:t>
      </w:r>
    </w:p>
    <w:p w:rsidR="000F67A0" w:rsidRPr="00606723" w:rsidRDefault="004B063A" w:rsidP="004B063A">
      <w:pPr>
        <w:spacing w:after="0" w:line="240" w:lineRule="auto"/>
        <w:jc w:val="center"/>
        <w:rPr>
          <w:rFonts w:ascii="Times New Roman" w:hAnsi="Times New Roman"/>
          <w:b/>
          <w:sz w:val="24"/>
          <w:szCs w:val="24"/>
          <w:lang w:val="ro-RO"/>
        </w:rPr>
      </w:pPr>
      <w:r w:rsidRPr="00606723">
        <w:rPr>
          <w:rFonts w:ascii="Times New Roman" w:hAnsi="Times New Roman"/>
          <w:b/>
          <w:sz w:val="24"/>
          <w:szCs w:val="24"/>
          <w:lang w:val="ro-RO"/>
        </w:rPr>
        <w:t xml:space="preserve">pentru modificarea </w:t>
      </w:r>
      <w:r w:rsidR="00E70AEE" w:rsidRPr="00606723">
        <w:rPr>
          <w:rFonts w:ascii="Times New Roman" w:hAnsi="Times New Roman"/>
          <w:b/>
          <w:sz w:val="24"/>
          <w:szCs w:val="24"/>
          <w:lang w:val="ro-RO"/>
        </w:rPr>
        <w:t>ş</w:t>
      </w:r>
      <w:r w:rsidRPr="00606723">
        <w:rPr>
          <w:rFonts w:ascii="Times New Roman" w:hAnsi="Times New Roman"/>
          <w:b/>
          <w:sz w:val="24"/>
          <w:szCs w:val="24"/>
          <w:lang w:val="ro-RO"/>
        </w:rPr>
        <w:t xml:space="preserve">i completarea </w:t>
      </w:r>
      <w:r w:rsidR="000F67A0" w:rsidRPr="00606723">
        <w:rPr>
          <w:rFonts w:ascii="Times New Roman" w:hAnsi="Times New Roman"/>
          <w:b/>
          <w:sz w:val="24"/>
          <w:szCs w:val="24"/>
          <w:lang w:val="ro-RO"/>
        </w:rPr>
        <w:t xml:space="preserve">unor acte legislative </w:t>
      </w:r>
    </w:p>
    <w:p w:rsidR="004B063A" w:rsidRPr="00606723" w:rsidRDefault="004B063A" w:rsidP="004B063A">
      <w:pPr>
        <w:spacing w:after="0" w:line="240" w:lineRule="auto"/>
        <w:jc w:val="both"/>
        <w:rPr>
          <w:rFonts w:ascii="Times New Roman" w:hAnsi="Times New Roman"/>
          <w:sz w:val="24"/>
          <w:szCs w:val="24"/>
          <w:lang w:val="ro-RO"/>
        </w:rPr>
      </w:pPr>
    </w:p>
    <w:p w:rsidR="004B063A" w:rsidRPr="00606723" w:rsidRDefault="004B063A" w:rsidP="00F143C3">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Parlamentul adoptă prezenta lege organică.</w:t>
      </w:r>
    </w:p>
    <w:p w:rsidR="004B4B16" w:rsidRPr="00606723" w:rsidRDefault="004B4B16" w:rsidP="004B4B16">
      <w:pPr>
        <w:spacing w:after="0" w:line="240" w:lineRule="auto"/>
        <w:ind w:firstLine="708"/>
        <w:jc w:val="both"/>
        <w:rPr>
          <w:rFonts w:ascii="Times New Roman" w:hAnsi="Times New Roman"/>
          <w:b/>
          <w:sz w:val="24"/>
          <w:szCs w:val="24"/>
          <w:lang w:val="ro-RO"/>
        </w:rPr>
      </w:pPr>
    </w:p>
    <w:p w:rsidR="004B4B16" w:rsidRDefault="005148CD" w:rsidP="004B4B16">
      <w:pPr>
        <w:spacing w:after="0" w:line="240" w:lineRule="auto"/>
        <w:ind w:firstLine="708"/>
        <w:jc w:val="both"/>
        <w:rPr>
          <w:rFonts w:ascii="Times New Roman" w:hAnsi="Times New Roman"/>
          <w:sz w:val="24"/>
          <w:szCs w:val="24"/>
          <w:lang w:val="ro-RO"/>
        </w:rPr>
      </w:pPr>
      <w:r>
        <w:rPr>
          <w:rFonts w:ascii="Times New Roman" w:hAnsi="Times New Roman"/>
          <w:b/>
          <w:sz w:val="24"/>
          <w:szCs w:val="24"/>
          <w:lang w:val="ro-RO"/>
        </w:rPr>
        <w:t xml:space="preserve">Art. I. – </w:t>
      </w:r>
      <w:r w:rsidR="004B4B16" w:rsidRPr="00606723">
        <w:rPr>
          <w:rFonts w:ascii="Times New Roman" w:hAnsi="Times New Roman"/>
          <w:sz w:val="24"/>
          <w:szCs w:val="24"/>
          <w:lang w:val="ro-RO"/>
        </w:rPr>
        <w:t>Legea nr. 544-XIII din 20 iulie 1995 cu privire la statutul judecătorului (republicată în Monitorul Oficial al Republicii Moldova, 2002, nr. 117–119, art. 946), cu modificările ulterioare, se modifică şi se completează după cum urmează:</w:t>
      </w:r>
    </w:p>
    <w:p w:rsidR="00F70221" w:rsidRPr="00606723" w:rsidRDefault="00F70221" w:rsidP="004B4B16">
      <w:pPr>
        <w:spacing w:after="0" w:line="240" w:lineRule="auto"/>
        <w:ind w:firstLine="708"/>
        <w:jc w:val="both"/>
        <w:rPr>
          <w:rFonts w:ascii="Times New Roman" w:hAnsi="Times New Roman"/>
          <w:b/>
          <w:sz w:val="24"/>
          <w:szCs w:val="24"/>
          <w:lang w:val="ro-RO"/>
        </w:rPr>
      </w:pPr>
    </w:p>
    <w:p w:rsidR="005148CD" w:rsidRDefault="00FD0ECF" w:rsidP="00FD0ECF">
      <w:pPr>
        <w:numPr>
          <w:ilvl w:val="0"/>
          <w:numId w:val="13"/>
        </w:numPr>
        <w:spacing w:after="0" w:line="240" w:lineRule="auto"/>
        <w:jc w:val="both"/>
        <w:rPr>
          <w:rFonts w:ascii="Times New Roman" w:hAnsi="Times New Roman"/>
          <w:sz w:val="24"/>
          <w:szCs w:val="24"/>
          <w:lang w:val="ro-RO"/>
        </w:rPr>
      </w:pPr>
      <w:r w:rsidRPr="00FD4571">
        <w:rPr>
          <w:rFonts w:ascii="Times New Roman" w:hAnsi="Times New Roman"/>
          <w:sz w:val="24"/>
          <w:szCs w:val="24"/>
          <w:lang w:val="ro-RO"/>
        </w:rPr>
        <w:t>Articolul 8 se completează cu alineatul (</w:t>
      </w:r>
      <w:r w:rsidR="00496D8B">
        <w:rPr>
          <w:rFonts w:ascii="Times New Roman" w:hAnsi="Times New Roman"/>
          <w:sz w:val="24"/>
          <w:szCs w:val="24"/>
          <w:lang w:val="ro-RO"/>
        </w:rPr>
        <w:t>3</w:t>
      </w:r>
      <w:r w:rsidR="00496D8B" w:rsidRPr="00496D8B">
        <w:rPr>
          <w:rFonts w:ascii="Times New Roman" w:hAnsi="Times New Roman"/>
          <w:sz w:val="24"/>
          <w:szCs w:val="24"/>
          <w:vertAlign w:val="superscript"/>
          <w:lang w:val="ro-RO"/>
        </w:rPr>
        <w:t>1</w:t>
      </w:r>
      <w:r w:rsidRPr="00FD4571">
        <w:rPr>
          <w:rFonts w:ascii="Times New Roman" w:hAnsi="Times New Roman"/>
          <w:sz w:val="24"/>
          <w:szCs w:val="24"/>
          <w:lang w:val="ro-RO"/>
        </w:rPr>
        <w:t>) cu următorul cuprins:</w:t>
      </w:r>
    </w:p>
    <w:p w:rsidR="00F70221" w:rsidRDefault="00496D8B" w:rsidP="00F70221">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w:t>
      </w:r>
      <w:r w:rsidRPr="00FD4571">
        <w:rPr>
          <w:rFonts w:ascii="Times New Roman" w:hAnsi="Times New Roman"/>
          <w:sz w:val="24"/>
          <w:szCs w:val="24"/>
          <w:lang w:val="ro-RO"/>
        </w:rPr>
        <w:t>(</w:t>
      </w:r>
      <w:r>
        <w:rPr>
          <w:rFonts w:ascii="Times New Roman" w:hAnsi="Times New Roman"/>
          <w:sz w:val="24"/>
          <w:szCs w:val="24"/>
          <w:lang w:val="ro-RO"/>
        </w:rPr>
        <w:t>3</w:t>
      </w:r>
      <w:r w:rsidRPr="00496D8B">
        <w:rPr>
          <w:rFonts w:ascii="Times New Roman" w:hAnsi="Times New Roman"/>
          <w:sz w:val="24"/>
          <w:szCs w:val="24"/>
          <w:vertAlign w:val="superscript"/>
          <w:lang w:val="ro-RO"/>
        </w:rPr>
        <w:t>1</w:t>
      </w:r>
      <w:r w:rsidRPr="00FD4571">
        <w:rPr>
          <w:rFonts w:ascii="Times New Roman" w:hAnsi="Times New Roman"/>
          <w:sz w:val="24"/>
          <w:szCs w:val="24"/>
          <w:lang w:val="ro-RO"/>
        </w:rPr>
        <w:t xml:space="preserve">) </w:t>
      </w:r>
      <w:r w:rsidR="00F70221" w:rsidRPr="00F70221">
        <w:rPr>
          <w:rFonts w:ascii="Times New Roman" w:hAnsi="Times New Roman"/>
          <w:sz w:val="24"/>
          <w:szCs w:val="24"/>
          <w:lang w:val="ro-RO"/>
        </w:rPr>
        <w:t xml:space="preserve">Este interzisă comunicarea </w:t>
      </w:r>
      <w:r w:rsidR="00F70221">
        <w:rPr>
          <w:rFonts w:ascii="Times New Roman" w:hAnsi="Times New Roman"/>
          <w:sz w:val="24"/>
          <w:szCs w:val="24"/>
          <w:lang w:val="ro-RO"/>
        </w:rPr>
        <w:t>judecătorilor</w:t>
      </w:r>
      <w:r w:rsidR="00F70221" w:rsidRPr="00F70221">
        <w:rPr>
          <w:rFonts w:ascii="Times New Roman" w:hAnsi="Times New Roman"/>
          <w:sz w:val="24"/>
          <w:szCs w:val="24"/>
          <w:lang w:val="ro-RO"/>
        </w:rPr>
        <w:t xml:space="preserve"> cu participanţi</w:t>
      </w:r>
      <w:r w:rsidR="00F70221">
        <w:rPr>
          <w:rFonts w:ascii="Times New Roman" w:hAnsi="Times New Roman"/>
          <w:sz w:val="24"/>
          <w:szCs w:val="24"/>
          <w:lang w:val="ro-RO"/>
        </w:rPr>
        <w:t xml:space="preserve">i </w:t>
      </w:r>
      <w:r w:rsidR="00F70221" w:rsidRPr="00F70221">
        <w:rPr>
          <w:rFonts w:ascii="Times New Roman" w:hAnsi="Times New Roman"/>
          <w:sz w:val="24"/>
          <w:szCs w:val="24"/>
          <w:lang w:val="ro-RO"/>
        </w:rPr>
        <w:t>la proces</w:t>
      </w:r>
      <w:r w:rsidR="000767CD">
        <w:rPr>
          <w:rFonts w:ascii="Times New Roman" w:hAnsi="Times New Roman"/>
          <w:sz w:val="24"/>
          <w:szCs w:val="24"/>
          <w:lang w:val="ro-RO"/>
        </w:rPr>
        <w:t xml:space="preserve"> şi alte persoane terţe, inclusiv</w:t>
      </w:r>
      <w:r w:rsidR="00F70221" w:rsidRPr="00F70221">
        <w:rPr>
          <w:rFonts w:ascii="Times New Roman" w:hAnsi="Times New Roman"/>
          <w:sz w:val="24"/>
          <w:szCs w:val="24"/>
          <w:lang w:val="ro-RO"/>
        </w:rPr>
        <w:t xml:space="preserve"> persoanelor cu funcţii de demnitate publică din momentul înregistrării dosarului în instanţa de judecată şi pînă la momentul în care decizia instanţei de judecată privind dosarul este definitivă, în cazul în care o astfel de comunicare este legată de un caz sau o problemă particulară, şi/sau de un rezultat probabil al dosarului şi încalcă principiile de independenţă şi imparţialitate judecătorului şi principiul contradictorialităţii procesului judiciar</w:t>
      </w:r>
      <w:r w:rsidR="000767CD">
        <w:rPr>
          <w:rFonts w:ascii="Times New Roman" w:hAnsi="Times New Roman"/>
          <w:sz w:val="24"/>
          <w:szCs w:val="24"/>
          <w:lang w:val="ro-RO"/>
        </w:rPr>
        <w:t>”</w:t>
      </w:r>
      <w:r w:rsidR="00F70221" w:rsidRPr="00F70221">
        <w:rPr>
          <w:rFonts w:ascii="Times New Roman" w:hAnsi="Times New Roman"/>
          <w:sz w:val="24"/>
          <w:szCs w:val="24"/>
          <w:lang w:val="ro-RO"/>
        </w:rPr>
        <w:t>.</w:t>
      </w:r>
    </w:p>
    <w:p w:rsidR="00F70221" w:rsidRDefault="00F70221" w:rsidP="00F70221">
      <w:pPr>
        <w:spacing w:after="0" w:line="240" w:lineRule="auto"/>
        <w:ind w:firstLine="720"/>
        <w:jc w:val="both"/>
        <w:rPr>
          <w:rFonts w:ascii="Times New Roman" w:hAnsi="Times New Roman"/>
          <w:sz w:val="24"/>
          <w:szCs w:val="24"/>
          <w:lang w:val="ro-RO"/>
        </w:rPr>
      </w:pPr>
    </w:p>
    <w:p w:rsidR="00B25129" w:rsidRDefault="00B25129" w:rsidP="00F70221">
      <w:pPr>
        <w:spacing w:after="0" w:line="240" w:lineRule="auto"/>
        <w:ind w:firstLine="720"/>
        <w:jc w:val="both"/>
        <w:rPr>
          <w:rFonts w:ascii="Times New Roman" w:hAnsi="Times New Roman"/>
          <w:sz w:val="24"/>
          <w:szCs w:val="24"/>
          <w:lang w:val="ro-RO"/>
        </w:rPr>
      </w:pPr>
      <w:r w:rsidRPr="00560AD7">
        <w:rPr>
          <w:rFonts w:ascii="Times New Roman" w:hAnsi="Times New Roman"/>
          <w:b/>
          <w:sz w:val="24"/>
          <w:szCs w:val="24"/>
          <w:lang w:val="ro-RO"/>
        </w:rPr>
        <w:t>2.</w:t>
      </w:r>
      <w:r>
        <w:rPr>
          <w:rFonts w:ascii="Times New Roman" w:hAnsi="Times New Roman"/>
          <w:sz w:val="24"/>
          <w:szCs w:val="24"/>
          <w:lang w:val="ro-RO"/>
        </w:rPr>
        <w:t xml:space="preserve"> Alineatul (7) al articolului 9 </w:t>
      </w:r>
      <w:r w:rsidR="00C42D3B">
        <w:rPr>
          <w:rFonts w:ascii="Times New Roman" w:hAnsi="Times New Roman"/>
          <w:sz w:val="24"/>
          <w:szCs w:val="24"/>
          <w:lang w:val="ro-RO"/>
        </w:rPr>
        <w:t xml:space="preserve">după cuvîntul „publice” </w:t>
      </w:r>
      <w:r w:rsidR="00560AD7">
        <w:rPr>
          <w:rFonts w:ascii="Times New Roman" w:hAnsi="Times New Roman"/>
          <w:sz w:val="24"/>
          <w:szCs w:val="24"/>
          <w:lang w:val="ro-RO"/>
        </w:rPr>
        <w:t xml:space="preserve">se completează cu textul </w:t>
      </w:r>
      <w:r>
        <w:rPr>
          <w:rFonts w:ascii="Times New Roman" w:hAnsi="Times New Roman"/>
          <w:sz w:val="24"/>
          <w:szCs w:val="24"/>
          <w:lang w:val="ro-RO"/>
        </w:rPr>
        <w:t>:</w:t>
      </w:r>
      <w:r w:rsidR="00560AD7">
        <w:rPr>
          <w:rFonts w:ascii="Times New Roman" w:hAnsi="Times New Roman"/>
          <w:sz w:val="24"/>
          <w:szCs w:val="24"/>
          <w:lang w:val="ro-RO"/>
        </w:rPr>
        <w:t>”care include în mod obligatoriu testarea la poligraf</w:t>
      </w:r>
      <w:r w:rsidR="007A3BC6">
        <w:rPr>
          <w:rFonts w:ascii="Times New Roman" w:hAnsi="Times New Roman"/>
          <w:sz w:val="24"/>
          <w:szCs w:val="24"/>
          <w:lang w:val="ro-RO"/>
        </w:rPr>
        <w:t>,</w:t>
      </w:r>
      <w:r w:rsidR="007A3BC6" w:rsidRPr="007A3BC6">
        <w:rPr>
          <w:rFonts w:ascii="Times New Roman" w:hAnsi="Times New Roman"/>
          <w:sz w:val="24"/>
          <w:szCs w:val="24"/>
          <w:lang w:val="ro-RO"/>
        </w:rPr>
        <w:t xml:space="preserve"> </w:t>
      </w:r>
      <w:r w:rsidR="007A3BC6">
        <w:rPr>
          <w:rFonts w:ascii="Times New Roman" w:hAnsi="Times New Roman"/>
          <w:sz w:val="24"/>
          <w:szCs w:val="24"/>
          <w:lang w:val="ro-RO"/>
        </w:rPr>
        <w:t>conform Legii nr. 269 din 12 decembrie 2008 privind aplicarea testării la detectorul comportamentului simulat (poligraf)</w:t>
      </w:r>
      <w:r w:rsidR="00560AD7">
        <w:rPr>
          <w:rFonts w:ascii="Times New Roman" w:hAnsi="Times New Roman"/>
          <w:sz w:val="24"/>
          <w:szCs w:val="24"/>
          <w:lang w:val="ro-RO"/>
        </w:rPr>
        <w:t>”.</w:t>
      </w:r>
    </w:p>
    <w:p w:rsidR="00560AD7" w:rsidRDefault="00560AD7" w:rsidP="00F70221">
      <w:pPr>
        <w:spacing w:after="0" w:line="240" w:lineRule="auto"/>
        <w:ind w:firstLine="720"/>
        <w:jc w:val="both"/>
        <w:rPr>
          <w:rFonts w:ascii="Times New Roman" w:hAnsi="Times New Roman"/>
          <w:sz w:val="24"/>
          <w:szCs w:val="24"/>
          <w:lang w:val="ro-RO"/>
        </w:rPr>
      </w:pPr>
    </w:p>
    <w:p w:rsidR="00F70221" w:rsidRDefault="000E5665" w:rsidP="00C42D3B">
      <w:pPr>
        <w:numPr>
          <w:ilvl w:val="0"/>
          <w:numId w:val="14"/>
        </w:numPr>
        <w:spacing w:after="0" w:line="240" w:lineRule="auto"/>
        <w:jc w:val="both"/>
        <w:rPr>
          <w:rFonts w:ascii="Times New Roman" w:hAnsi="Times New Roman"/>
          <w:sz w:val="24"/>
          <w:szCs w:val="24"/>
          <w:lang w:val="ro-RO"/>
        </w:rPr>
      </w:pPr>
      <w:r>
        <w:rPr>
          <w:rFonts w:ascii="Times New Roman" w:hAnsi="Times New Roman"/>
          <w:sz w:val="24"/>
          <w:szCs w:val="24"/>
          <w:lang w:val="ro-RO"/>
        </w:rPr>
        <w:t>Alineatul (2) al articolului 15</w:t>
      </w:r>
      <w:r w:rsidR="001810B8">
        <w:rPr>
          <w:rFonts w:ascii="Times New Roman" w:hAnsi="Times New Roman"/>
          <w:sz w:val="24"/>
          <w:szCs w:val="24"/>
          <w:lang w:val="ro-RO"/>
        </w:rPr>
        <w:t xml:space="preserve"> </w:t>
      </w:r>
      <w:r>
        <w:rPr>
          <w:rFonts w:ascii="Times New Roman" w:hAnsi="Times New Roman"/>
          <w:sz w:val="24"/>
          <w:szCs w:val="24"/>
          <w:lang w:val="ro-RO"/>
        </w:rPr>
        <w:t>va avea următorul cuprins:</w:t>
      </w:r>
    </w:p>
    <w:p w:rsidR="000E5665" w:rsidRPr="000E5665" w:rsidRDefault="000E5665" w:rsidP="000E5665">
      <w:pPr>
        <w:spacing w:after="0" w:line="240" w:lineRule="auto"/>
        <w:ind w:firstLine="578"/>
        <w:jc w:val="both"/>
        <w:rPr>
          <w:rFonts w:ascii="Times New Roman" w:hAnsi="Times New Roman"/>
          <w:sz w:val="24"/>
          <w:szCs w:val="24"/>
          <w:lang w:val="ro-RO"/>
        </w:rPr>
      </w:pPr>
      <w:r>
        <w:rPr>
          <w:rFonts w:ascii="Times New Roman" w:hAnsi="Times New Roman"/>
          <w:sz w:val="24"/>
          <w:szCs w:val="24"/>
          <w:lang w:val="ro-RO"/>
        </w:rPr>
        <w:t>„</w:t>
      </w:r>
      <w:r w:rsidRPr="000E5665">
        <w:rPr>
          <w:rFonts w:ascii="Times New Roman" w:hAnsi="Times New Roman"/>
          <w:sz w:val="24"/>
          <w:szCs w:val="24"/>
          <w:lang w:val="ro-RO"/>
        </w:rPr>
        <w:t>(2)</w:t>
      </w:r>
      <w:r>
        <w:rPr>
          <w:rFonts w:ascii="Times New Roman" w:hAnsi="Times New Roman"/>
          <w:sz w:val="24"/>
          <w:szCs w:val="24"/>
          <w:lang w:val="ro-RO"/>
        </w:rPr>
        <w:t xml:space="preserve"> </w:t>
      </w:r>
      <w:r w:rsidRPr="000E5665">
        <w:rPr>
          <w:rFonts w:ascii="Times New Roman" w:hAnsi="Times New Roman"/>
          <w:sz w:val="24"/>
          <w:szCs w:val="24"/>
          <w:lang w:val="ro-RO"/>
        </w:rPr>
        <w:t>În cazul în care a fost admisă comunicarea</w:t>
      </w:r>
      <w:r w:rsidR="001810B8">
        <w:rPr>
          <w:rFonts w:ascii="Times New Roman" w:hAnsi="Times New Roman"/>
          <w:sz w:val="24"/>
          <w:szCs w:val="24"/>
          <w:lang w:val="ro-RO"/>
        </w:rPr>
        <w:t xml:space="preserve"> interzisă</w:t>
      </w:r>
      <w:r w:rsidRPr="000E5665">
        <w:rPr>
          <w:rFonts w:ascii="Times New Roman" w:hAnsi="Times New Roman"/>
          <w:sz w:val="24"/>
          <w:szCs w:val="24"/>
          <w:lang w:val="ro-RO"/>
        </w:rPr>
        <w:t xml:space="preserve"> dintre un judecător </w:t>
      </w:r>
      <w:r w:rsidR="00E36E67">
        <w:rPr>
          <w:rFonts w:ascii="Times New Roman" w:hAnsi="Times New Roman"/>
          <w:sz w:val="24"/>
          <w:szCs w:val="24"/>
          <w:lang w:val="ro-RO"/>
        </w:rPr>
        <w:t>cu un participant la proces şi alte persoane terţe, inclusiv persoane cu funcţii de demnitate publică</w:t>
      </w:r>
      <w:r w:rsidR="001810B8">
        <w:rPr>
          <w:rFonts w:ascii="Times New Roman" w:hAnsi="Times New Roman"/>
          <w:sz w:val="24"/>
          <w:szCs w:val="24"/>
          <w:lang w:val="ro-RO"/>
        </w:rPr>
        <w:t>, în condiţiile alin. (</w:t>
      </w:r>
      <w:r w:rsidR="00496D8B">
        <w:rPr>
          <w:rFonts w:ascii="Times New Roman" w:hAnsi="Times New Roman"/>
          <w:sz w:val="24"/>
          <w:szCs w:val="24"/>
          <w:lang w:val="ro-RO"/>
        </w:rPr>
        <w:t>3</w:t>
      </w:r>
      <w:r w:rsidR="00496D8B" w:rsidRPr="00496D8B">
        <w:rPr>
          <w:rFonts w:ascii="Times New Roman" w:hAnsi="Times New Roman"/>
          <w:sz w:val="24"/>
          <w:szCs w:val="24"/>
          <w:vertAlign w:val="superscript"/>
          <w:lang w:val="ro-RO"/>
        </w:rPr>
        <w:t>1</w:t>
      </w:r>
      <w:r w:rsidR="001810B8">
        <w:rPr>
          <w:rFonts w:ascii="Times New Roman" w:hAnsi="Times New Roman"/>
          <w:sz w:val="24"/>
          <w:szCs w:val="24"/>
          <w:lang w:val="ro-RO"/>
        </w:rPr>
        <w:t>) art. 8</w:t>
      </w:r>
      <w:r w:rsidRPr="000E5665">
        <w:rPr>
          <w:rFonts w:ascii="Times New Roman" w:hAnsi="Times New Roman"/>
          <w:sz w:val="24"/>
          <w:szCs w:val="24"/>
          <w:lang w:val="ro-RO"/>
        </w:rPr>
        <w:t xml:space="preserve">, judecătorul este obligat să informeze </w:t>
      </w:r>
      <w:r w:rsidR="0099363B" w:rsidRPr="000E5665">
        <w:rPr>
          <w:rFonts w:ascii="Times New Roman" w:hAnsi="Times New Roman"/>
          <w:sz w:val="24"/>
          <w:szCs w:val="24"/>
          <w:lang w:val="ro-RO"/>
        </w:rPr>
        <w:t xml:space="preserve">preşedintele instanţei </w:t>
      </w:r>
      <w:r w:rsidRPr="000E5665">
        <w:rPr>
          <w:rFonts w:ascii="Times New Roman" w:hAnsi="Times New Roman"/>
          <w:sz w:val="24"/>
          <w:szCs w:val="24"/>
          <w:lang w:val="ro-RO"/>
        </w:rPr>
        <w:t>în aceeaşi zi despre producerea acestui fapt, în formă scrisă. În cazul în care comunicarea a avut loc cu preşedintele instanţei, atunci preşedintele instanţei trebuie să informeze Consiliul Superior al Magistraturii imediat, în formă scrisă.</w:t>
      </w:r>
      <w:r w:rsidR="003F264C">
        <w:rPr>
          <w:rFonts w:ascii="Times New Roman" w:hAnsi="Times New Roman"/>
          <w:sz w:val="24"/>
          <w:szCs w:val="24"/>
          <w:lang w:val="ro-RO"/>
        </w:rPr>
        <w:t>”</w:t>
      </w:r>
      <w:r w:rsidRPr="000E5665">
        <w:rPr>
          <w:rFonts w:ascii="Times New Roman" w:hAnsi="Times New Roman"/>
          <w:sz w:val="24"/>
          <w:szCs w:val="24"/>
          <w:lang w:val="ro-RO"/>
        </w:rPr>
        <w:t xml:space="preserve"> </w:t>
      </w:r>
    </w:p>
    <w:p w:rsidR="000E5665" w:rsidRPr="00F70221" w:rsidRDefault="000E5665" w:rsidP="000E5665">
      <w:pPr>
        <w:spacing w:after="0" w:line="240" w:lineRule="auto"/>
        <w:ind w:left="708"/>
        <w:jc w:val="both"/>
        <w:rPr>
          <w:rFonts w:ascii="Times New Roman" w:hAnsi="Times New Roman"/>
          <w:sz w:val="24"/>
          <w:szCs w:val="24"/>
          <w:lang w:val="ro-RO"/>
        </w:rPr>
      </w:pPr>
    </w:p>
    <w:p w:rsidR="00FD0ECF" w:rsidRPr="002727BE" w:rsidRDefault="007A668D" w:rsidP="002727BE">
      <w:pPr>
        <w:spacing w:after="0" w:line="240" w:lineRule="auto"/>
        <w:ind w:firstLine="708"/>
        <w:jc w:val="both"/>
        <w:rPr>
          <w:rFonts w:ascii="Times New Roman" w:hAnsi="Times New Roman"/>
          <w:sz w:val="24"/>
          <w:szCs w:val="24"/>
          <w:lang w:val="ro-RO"/>
        </w:rPr>
      </w:pPr>
      <w:r w:rsidRPr="002727BE">
        <w:rPr>
          <w:rFonts w:ascii="Times New Roman" w:hAnsi="Times New Roman"/>
          <w:b/>
          <w:sz w:val="24"/>
          <w:szCs w:val="24"/>
          <w:lang w:val="ro-RO"/>
        </w:rPr>
        <w:t>Art. II</w:t>
      </w:r>
      <w:r w:rsidRPr="002727BE">
        <w:rPr>
          <w:rFonts w:ascii="Times New Roman" w:hAnsi="Times New Roman"/>
          <w:sz w:val="24"/>
          <w:szCs w:val="24"/>
          <w:lang w:val="ro-RO"/>
        </w:rPr>
        <w:t>.</w:t>
      </w:r>
      <w:r w:rsidR="002727BE">
        <w:rPr>
          <w:rFonts w:ascii="Times New Roman" w:hAnsi="Times New Roman"/>
          <w:sz w:val="24"/>
          <w:szCs w:val="24"/>
          <w:lang w:val="ro-RO"/>
        </w:rPr>
        <w:t xml:space="preserve"> </w:t>
      </w:r>
      <w:r w:rsidRPr="002727BE">
        <w:rPr>
          <w:rFonts w:ascii="Times New Roman" w:hAnsi="Times New Roman"/>
          <w:sz w:val="24"/>
          <w:szCs w:val="24"/>
          <w:lang w:val="ro-RO"/>
        </w:rPr>
        <w:t xml:space="preserve">- </w:t>
      </w:r>
      <w:r w:rsidR="002727BE" w:rsidRPr="002727BE">
        <w:rPr>
          <w:rFonts w:ascii="Times New Roman" w:hAnsi="Times New Roman"/>
          <w:sz w:val="24"/>
          <w:szCs w:val="24"/>
          <w:lang w:val="ro-RO"/>
        </w:rPr>
        <w:t xml:space="preserve">Legea nr. 947-XIII din 19 iulie 1996 cu privire </w:t>
      </w:r>
      <w:smartTag w:uri="urn:schemas-microsoft-com:office:smarttags" w:element="PersonName">
        <w:smartTagPr>
          <w:attr w:name="ProductID" w:val="la Consiliul Superior"/>
        </w:smartTagPr>
        <w:r w:rsidR="002727BE" w:rsidRPr="002727BE">
          <w:rPr>
            <w:rFonts w:ascii="Times New Roman" w:hAnsi="Times New Roman"/>
            <w:sz w:val="24"/>
            <w:szCs w:val="24"/>
            <w:lang w:val="ro-RO"/>
          </w:rPr>
          <w:t>la Consiliul Superior</w:t>
        </w:r>
      </w:smartTag>
      <w:r w:rsidR="002727BE" w:rsidRPr="002727BE">
        <w:rPr>
          <w:rFonts w:ascii="Times New Roman" w:hAnsi="Times New Roman"/>
          <w:sz w:val="24"/>
          <w:szCs w:val="24"/>
          <w:lang w:val="ro-RO"/>
        </w:rPr>
        <w:t xml:space="preserve"> al Magistraturii (republicată în Monitorul Oficial al Republicii Moldova, 2003, nr. 186–188, art. 752), cu modificările ulterioare, se </w:t>
      </w:r>
      <w:r w:rsidR="00D77ACE">
        <w:rPr>
          <w:rFonts w:ascii="Times New Roman" w:hAnsi="Times New Roman"/>
          <w:sz w:val="24"/>
          <w:szCs w:val="24"/>
          <w:lang w:val="ro-RO"/>
        </w:rPr>
        <w:t>completează cu articolul 22</w:t>
      </w:r>
      <w:r w:rsidR="00D77ACE" w:rsidRPr="0005257B">
        <w:rPr>
          <w:rFonts w:ascii="Times New Roman" w:hAnsi="Times New Roman"/>
          <w:sz w:val="24"/>
          <w:szCs w:val="24"/>
          <w:vertAlign w:val="superscript"/>
          <w:lang w:val="ro-RO"/>
        </w:rPr>
        <w:t>1</w:t>
      </w:r>
      <w:r w:rsidR="00D77ACE">
        <w:rPr>
          <w:rFonts w:ascii="Times New Roman" w:hAnsi="Times New Roman"/>
          <w:sz w:val="24"/>
          <w:szCs w:val="24"/>
          <w:lang w:val="ro-RO"/>
        </w:rPr>
        <w:t xml:space="preserve"> cu următorul cuprins:</w:t>
      </w:r>
    </w:p>
    <w:p w:rsidR="00EA41D0" w:rsidRDefault="00EA41D0" w:rsidP="002727BE">
      <w:pPr>
        <w:spacing w:after="0" w:line="240" w:lineRule="auto"/>
        <w:ind w:firstLine="708"/>
        <w:jc w:val="both"/>
        <w:rPr>
          <w:rFonts w:ascii="Times New Roman" w:hAnsi="Times New Roman"/>
          <w:sz w:val="24"/>
          <w:szCs w:val="24"/>
          <w:lang w:val="ro-RO"/>
        </w:rPr>
      </w:pPr>
    </w:p>
    <w:p w:rsidR="002727BE" w:rsidRPr="00EA41D0" w:rsidRDefault="00D77ACE" w:rsidP="00EA41D0">
      <w:pPr>
        <w:spacing w:after="0" w:line="240" w:lineRule="auto"/>
        <w:ind w:firstLine="708"/>
        <w:jc w:val="both"/>
        <w:rPr>
          <w:rFonts w:ascii="Times New Roman" w:hAnsi="Times New Roman"/>
          <w:sz w:val="24"/>
          <w:szCs w:val="24"/>
          <w:lang w:val="ro-RO"/>
        </w:rPr>
      </w:pPr>
      <w:r w:rsidRPr="00EA41D0">
        <w:rPr>
          <w:rFonts w:ascii="Times New Roman" w:hAnsi="Times New Roman"/>
          <w:sz w:val="24"/>
          <w:szCs w:val="24"/>
          <w:lang w:val="ro-RO"/>
        </w:rPr>
        <w:t>„</w:t>
      </w:r>
      <w:r w:rsidRPr="00EA41D0">
        <w:rPr>
          <w:rFonts w:ascii="Times New Roman" w:hAnsi="Times New Roman"/>
          <w:b/>
          <w:sz w:val="24"/>
          <w:szCs w:val="24"/>
          <w:lang w:val="ro-RO"/>
        </w:rPr>
        <w:t>Articolul 22</w:t>
      </w:r>
      <w:r w:rsidRPr="0005257B">
        <w:rPr>
          <w:rFonts w:ascii="Times New Roman" w:hAnsi="Times New Roman"/>
          <w:b/>
          <w:sz w:val="24"/>
          <w:szCs w:val="24"/>
          <w:vertAlign w:val="superscript"/>
          <w:lang w:val="ro-RO"/>
        </w:rPr>
        <w:t>1</w:t>
      </w:r>
      <w:r w:rsidRPr="00EA41D0">
        <w:rPr>
          <w:rFonts w:ascii="Times New Roman" w:hAnsi="Times New Roman"/>
          <w:b/>
          <w:sz w:val="24"/>
          <w:szCs w:val="24"/>
          <w:lang w:val="ro-RO"/>
        </w:rPr>
        <w:t>.</w:t>
      </w:r>
      <w:r w:rsidRPr="00EA41D0">
        <w:rPr>
          <w:rFonts w:ascii="Times New Roman" w:hAnsi="Times New Roman"/>
          <w:sz w:val="24"/>
          <w:szCs w:val="24"/>
          <w:lang w:val="ro-RO"/>
        </w:rPr>
        <w:t xml:space="preserve"> Examinarea </w:t>
      </w:r>
      <w:r w:rsidR="008A3E3C" w:rsidRPr="00EA41D0">
        <w:rPr>
          <w:rFonts w:ascii="Times New Roman" w:hAnsi="Times New Roman"/>
          <w:sz w:val="24"/>
          <w:szCs w:val="24"/>
          <w:lang w:val="ro-RO"/>
        </w:rPr>
        <w:t>informaţiilor privind comunicarea interzisă cu judecătorii</w:t>
      </w:r>
    </w:p>
    <w:p w:rsidR="006E5433" w:rsidRDefault="006E5433" w:rsidP="00E86C5A">
      <w:pPr>
        <w:numPr>
          <w:ilvl w:val="0"/>
          <w:numId w:val="15"/>
        </w:numPr>
        <w:tabs>
          <w:tab w:val="clear" w:pos="1815"/>
          <w:tab w:val="num" w:pos="1080"/>
        </w:tabs>
        <w:spacing w:after="0" w:line="240" w:lineRule="auto"/>
        <w:ind w:left="-180" w:firstLine="900"/>
        <w:jc w:val="both"/>
        <w:rPr>
          <w:rFonts w:ascii="Times New Roman" w:hAnsi="Times New Roman"/>
          <w:sz w:val="24"/>
          <w:szCs w:val="24"/>
          <w:lang w:val="ro-RO"/>
        </w:rPr>
      </w:pPr>
      <w:r>
        <w:rPr>
          <w:rFonts w:ascii="Times New Roman" w:hAnsi="Times New Roman"/>
          <w:sz w:val="24"/>
          <w:szCs w:val="24"/>
          <w:lang w:val="ro-RO"/>
        </w:rPr>
        <w:t xml:space="preserve">Informaţiile privind </w:t>
      </w:r>
      <w:r w:rsidRPr="000E5665">
        <w:rPr>
          <w:rFonts w:ascii="Times New Roman" w:hAnsi="Times New Roman"/>
          <w:sz w:val="24"/>
          <w:szCs w:val="24"/>
          <w:lang w:val="ro-RO"/>
        </w:rPr>
        <w:t>comunicarea</w:t>
      </w:r>
      <w:r>
        <w:rPr>
          <w:rFonts w:ascii="Times New Roman" w:hAnsi="Times New Roman"/>
          <w:sz w:val="24"/>
          <w:szCs w:val="24"/>
          <w:lang w:val="ro-RO"/>
        </w:rPr>
        <w:t xml:space="preserve"> interzisă</w:t>
      </w:r>
      <w:r w:rsidRPr="000E5665">
        <w:rPr>
          <w:rFonts w:ascii="Times New Roman" w:hAnsi="Times New Roman"/>
          <w:sz w:val="24"/>
          <w:szCs w:val="24"/>
          <w:lang w:val="ro-RO"/>
        </w:rPr>
        <w:t xml:space="preserve"> dintre un judecător </w:t>
      </w:r>
      <w:r>
        <w:rPr>
          <w:rFonts w:ascii="Times New Roman" w:hAnsi="Times New Roman"/>
          <w:sz w:val="24"/>
          <w:szCs w:val="24"/>
          <w:lang w:val="ro-RO"/>
        </w:rPr>
        <w:t xml:space="preserve">cu un participant la proces şi alte persoane terţe, inclusiv persoane cu funcţii de demnitate publică, în condiţiile alin. </w:t>
      </w:r>
      <w:r w:rsidR="00496D8B" w:rsidRPr="00FD4571">
        <w:rPr>
          <w:rFonts w:ascii="Times New Roman" w:hAnsi="Times New Roman"/>
          <w:sz w:val="24"/>
          <w:szCs w:val="24"/>
          <w:lang w:val="ro-RO"/>
        </w:rPr>
        <w:t>(</w:t>
      </w:r>
      <w:r w:rsidR="00496D8B">
        <w:rPr>
          <w:rFonts w:ascii="Times New Roman" w:hAnsi="Times New Roman"/>
          <w:sz w:val="24"/>
          <w:szCs w:val="24"/>
          <w:lang w:val="ro-RO"/>
        </w:rPr>
        <w:t>3</w:t>
      </w:r>
      <w:r w:rsidR="00496D8B" w:rsidRPr="00496D8B">
        <w:rPr>
          <w:rFonts w:ascii="Times New Roman" w:hAnsi="Times New Roman"/>
          <w:sz w:val="24"/>
          <w:szCs w:val="24"/>
          <w:vertAlign w:val="superscript"/>
          <w:lang w:val="ro-RO"/>
        </w:rPr>
        <w:t>1</w:t>
      </w:r>
      <w:r w:rsidR="00496D8B" w:rsidRPr="00FD4571">
        <w:rPr>
          <w:rFonts w:ascii="Times New Roman" w:hAnsi="Times New Roman"/>
          <w:sz w:val="24"/>
          <w:szCs w:val="24"/>
          <w:lang w:val="ro-RO"/>
        </w:rPr>
        <w:t>)</w:t>
      </w:r>
      <w:r>
        <w:rPr>
          <w:rFonts w:ascii="Times New Roman" w:hAnsi="Times New Roman"/>
          <w:sz w:val="24"/>
          <w:szCs w:val="24"/>
          <w:lang w:val="ro-RO"/>
        </w:rPr>
        <w:t xml:space="preserve"> articolul 8 din Legea cu privire la statutul judecătorului</w:t>
      </w:r>
      <w:r w:rsidR="00E86C5A">
        <w:rPr>
          <w:rFonts w:ascii="Times New Roman" w:hAnsi="Times New Roman"/>
          <w:sz w:val="24"/>
          <w:szCs w:val="24"/>
          <w:lang w:val="ro-RO"/>
        </w:rPr>
        <w:t xml:space="preserve"> se examinează în cel mult 15 zile din data înregistrării lor în Consiliul Superior al Magistraturii. </w:t>
      </w:r>
    </w:p>
    <w:p w:rsidR="00EA41D0" w:rsidRPr="00EA41D0" w:rsidRDefault="00E86C5A" w:rsidP="00EA41D0">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(2</w:t>
      </w:r>
      <w:r w:rsidR="00EA41D0" w:rsidRPr="00EA41D0">
        <w:rPr>
          <w:rFonts w:ascii="Times New Roman" w:hAnsi="Times New Roman"/>
          <w:sz w:val="24"/>
          <w:szCs w:val="24"/>
          <w:lang w:val="ro-RO"/>
        </w:rPr>
        <w:t>) După examinarea informaţii</w:t>
      </w:r>
      <w:r>
        <w:rPr>
          <w:rFonts w:ascii="Times New Roman" w:hAnsi="Times New Roman"/>
          <w:sz w:val="24"/>
          <w:szCs w:val="24"/>
          <w:lang w:val="ro-RO"/>
        </w:rPr>
        <w:t>lor</w:t>
      </w:r>
      <w:r w:rsidR="00EA41D0" w:rsidRPr="00EA41D0">
        <w:rPr>
          <w:rFonts w:ascii="Times New Roman" w:hAnsi="Times New Roman"/>
          <w:sz w:val="24"/>
          <w:szCs w:val="24"/>
          <w:lang w:val="ro-RO"/>
        </w:rPr>
        <w:t xml:space="preserve">, Consiliul Superior al Magistraturii </w:t>
      </w:r>
      <w:r>
        <w:rPr>
          <w:rFonts w:ascii="Times New Roman" w:hAnsi="Times New Roman"/>
          <w:sz w:val="24"/>
          <w:szCs w:val="24"/>
          <w:lang w:val="ro-RO"/>
        </w:rPr>
        <w:t>decide</w:t>
      </w:r>
      <w:r w:rsidR="00AE1AF6">
        <w:rPr>
          <w:rFonts w:ascii="Times New Roman" w:hAnsi="Times New Roman"/>
          <w:sz w:val="24"/>
          <w:szCs w:val="24"/>
          <w:lang w:val="ro-RO"/>
        </w:rPr>
        <w:t xml:space="preserve"> privind</w:t>
      </w:r>
      <w:r w:rsidR="00EA41D0" w:rsidRPr="00EA41D0">
        <w:rPr>
          <w:rFonts w:ascii="Times New Roman" w:hAnsi="Times New Roman"/>
          <w:sz w:val="24"/>
          <w:szCs w:val="24"/>
          <w:lang w:val="ro-RO"/>
        </w:rPr>
        <w:t>:</w:t>
      </w:r>
    </w:p>
    <w:p w:rsidR="00EA41D0" w:rsidRPr="00EA41D0" w:rsidRDefault="00EA41D0" w:rsidP="00EA41D0">
      <w:pPr>
        <w:spacing w:after="0" w:line="240" w:lineRule="auto"/>
        <w:ind w:firstLine="720"/>
        <w:jc w:val="both"/>
        <w:rPr>
          <w:rFonts w:ascii="Times New Roman" w:hAnsi="Times New Roman"/>
          <w:sz w:val="24"/>
          <w:szCs w:val="24"/>
          <w:lang w:val="ro-RO"/>
        </w:rPr>
      </w:pPr>
      <w:r w:rsidRPr="00EA41D0">
        <w:rPr>
          <w:rFonts w:ascii="Times New Roman" w:hAnsi="Times New Roman"/>
          <w:sz w:val="24"/>
          <w:szCs w:val="24"/>
          <w:lang w:val="ro-RO"/>
        </w:rPr>
        <w:t>a) transmiterea informaţiei în adresa Procuraturii Generale, în cazul în care sunt elementele constitutive ale infracţiunii prevăzute la articolul 303 din Codul penal</w:t>
      </w:r>
      <w:r w:rsidR="00457D20">
        <w:rPr>
          <w:rFonts w:ascii="Times New Roman" w:hAnsi="Times New Roman"/>
          <w:sz w:val="24"/>
          <w:szCs w:val="24"/>
          <w:lang w:val="ro-RO"/>
        </w:rPr>
        <w:t xml:space="preserve"> sau ale contravenţiei</w:t>
      </w:r>
      <w:r w:rsidR="00AE1AF6">
        <w:rPr>
          <w:rFonts w:ascii="Times New Roman" w:hAnsi="Times New Roman"/>
          <w:sz w:val="24"/>
          <w:szCs w:val="24"/>
          <w:lang w:val="ro-RO"/>
        </w:rPr>
        <w:t xml:space="preserve"> prevăzute la articolul 317 alineatul (2) al Codului contravenţional</w:t>
      </w:r>
      <w:r w:rsidR="00457D20">
        <w:rPr>
          <w:rFonts w:ascii="Times New Roman" w:hAnsi="Times New Roman"/>
          <w:sz w:val="24"/>
          <w:szCs w:val="24"/>
          <w:lang w:val="ro-RO"/>
        </w:rPr>
        <w:t xml:space="preserve"> </w:t>
      </w:r>
      <w:r w:rsidRPr="00EA41D0">
        <w:rPr>
          <w:rFonts w:ascii="Times New Roman" w:hAnsi="Times New Roman"/>
          <w:sz w:val="24"/>
          <w:szCs w:val="24"/>
          <w:lang w:val="ro-RO"/>
        </w:rPr>
        <w:t>;</w:t>
      </w:r>
    </w:p>
    <w:p w:rsidR="00457D20" w:rsidRDefault="00EA41D0" w:rsidP="00EA41D0">
      <w:pPr>
        <w:spacing w:after="0" w:line="240" w:lineRule="auto"/>
        <w:ind w:firstLine="720"/>
        <w:jc w:val="both"/>
        <w:rPr>
          <w:rFonts w:ascii="Times New Roman" w:hAnsi="Times New Roman"/>
          <w:sz w:val="24"/>
          <w:szCs w:val="24"/>
          <w:lang w:val="ro-RO"/>
        </w:rPr>
      </w:pPr>
      <w:r w:rsidRPr="00EA41D0">
        <w:rPr>
          <w:rFonts w:ascii="Times New Roman" w:hAnsi="Times New Roman"/>
          <w:sz w:val="24"/>
          <w:szCs w:val="24"/>
          <w:lang w:val="ro-RO"/>
        </w:rPr>
        <w:t xml:space="preserve">b) informarea conducerii autorităţii sau a organelor de autoadministrare competente, </w:t>
      </w:r>
      <w:r w:rsidR="002A1B99">
        <w:rPr>
          <w:rFonts w:ascii="Times New Roman" w:hAnsi="Times New Roman"/>
          <w:sz w:val="24"/>
          <w:szCs w:val="24"/>
          <w:lang w:val="ro-RO"/>
        </w:rPr>
        <w:t>în cadrul cărora activează persoanele care au admis comun</w:t>
      </w:r>
      <w:r w:rsidR="00457D20">
        <w:rPr>
          <w:rFonts w:ascii="Times New Roman" w:hAnsi="Times New Roman"/>
          <w:sz w:val="24"/>
          <w:szCs w:val="24"/>
          <w:lang w:val="ro-RO"/>
        </w:rPr>
        <w:t>icarea interzisă cu judecătorul;</w:t>
      </w:r>
    </w:p>
    <w:p w:rsidR="00AE1AF6" w:rsidRDefault="00457D20" w:rsidP="00EA41D0">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c) </w:t>
      </w:r>
      <w:r w:rsidR="00264482">
        <w:rPr>
          <w:rFonts w:ascii="Times New Roman" w:hAnsi="Times New Roman"/>
          <w:sz w:val="24"/>
          <w:szCs w:val="24"/>
          <w:lang w:val="ro-RO"/>
        </w:rPr>
        <w:t>sesizarea Colegiului disciplinar pentru sancţionarea disciplinară a judecătorului, în cazul în care informaţiile privind comunicarea interzisă nu corespund realităţii.”</w:t>
      </w:r>
    </w:p>
    <w:p w:rsidR="00EA41D0" w:rsidRDefault="00EA41D0" w:rsidP="00EA41D0">
      <w:pPr>
        <w:spacing w:after="0" w:line="240" w:lineRule="auto"/>
        <w:ind w:firstLine="720"/>
        <w:jc w:val="both"/>
        <w:rPr>
          <w:rFonts w:ascii="Times New Roman" w:hAnsi="Times New Roman"/>
          <w:sz w:val="24"/>
          <w:szCs w:val="24"/>
          <w:lang w:val="ro-RO"/>
        </w:rPr>
      </w:pPr>
    </w:p>
    <w:p w:rsidR="004B063A" w:rsidRPr="00606723" w:rsidRDefault="004B063A" w:rsidP="00F143C3">
      <w:pPr>
        <w:spacing w:after="0" w:line="240" w:lineRule="auto"/>
        <w:ind w:firstLine="708"/>
        <w:jc w:val="both"/>
        <w:rPr>
          <w:rFonts w:ascii="Times New Roman" w:hAnsi="Times New Roman"/>
          <w:sz w:val="24"/>
          <w:szCs w:val="24"/>
          <w:lang w:val="ro-RO"/>
        </w:rPr>
      </w:pPr>
      <w:r w:rsidRPr="00264482">
        <w:rPr>
          <w:rFonts w:ascii="Times New Roman" w:hAnsi="Times New Roman"/>
          <w:b/>
          <w:sz w:val="24"/>
          <w:szCs w:val="24"/>
          <w:lang w:val="ro-RO"/>
        </w:rPr>
        <w:t>Art</w:t>
      </w:r>
      <w:r w:rsidR="00C661A1" w:rsidRPr="00264482">
        <w:rPr>
          <w:rFonts w:ascii="Times New Roman" w:hAnsi="Times New Roman"/>
          <w:b/>
          <w:sz w:val="24"/>
          <w:szCs w:val="24"/>
          <w:lang w:val="ro-RO"/>
        </w:rPr>
        <w:t>.</w:t>
      </w:r>
      <w:r w:rsidRPr="00264482">
        <w:rPr>
          <w:rFonts w:ascii="Times New Roman" w:hAnsi="Times New Roman"/>
          <w:b/>
          <w:sz w:val="24"/>
          <w:szCs w:val="24"/>
          <w:lang w:val="ro-RO"/>
        </w:rPr>
        <w:t xml:space="preserve"> </w:t>
      </w:r>
      <w:r w:rsidR="004B4B16" w:rsidRPr="00264482">
        <w:rPr>
          <w:rFonts w:ascii="Times New Roman" w:hAnsi="Times New Roman"/>
          <w:b/>
          <w:sz w:val="24"/>
          <w:szCs w:val="24"/>
          <w:lang w:val="ro-RO"/>
        </w:rPr>
        <w:t>I</w:t>
      </w:r>
      <w:r w:rsidRPr="00264482">
        <w:rPr>
          <w:rFonts w:ascii="Times New Roman" w:hAnsi="Times New Roman"/>
          <w:b/>
          <w:sz w:val="24"/>
          <w:szCs w:val="24"/>
          <w:lang w:val="ro-RO"/>
        </w:rPr>
        <w:t>I</w:t>
      </w:r>
      <w:r w:rsidR="007A3BC6">
        <w:rPr>
          <w:rFonts w:ascii="Times New Roman" w:hAnsi="Times New Roman"/>
          <w:b/>
          <w:sz w:val="24"/>
          <w:szCs w:val="24"/>
          <w:lang w:val="ro-RO"/>
        </w:rPr>
        <w:t>I</w:t>
      </w:r>
      <w:r w:rsidRPr="00264482">
        <w:rPr>
          <w:rFonts w:ascii="Times New Roman" w:hAnsi="Times New Roman"/>
          <w:sz w:val="24"/>
          <w:szCs w:val="24"/>
          <w:lang w:val="ro-RO"/>
        </w:rPr>
        <w:t>.</w:t>
      </w:r>
      <w:r w:rsidR="00AA5D64" w:rsidRPr="00264482">
        <w:rPr>
          <w:rFonts w:ascii="Times New Roman" w:hAnsi="Times New Roman"/>
          <w:sz w:val="24"/>
          <w:szCs w:val="24"/>
          <w:lang w:val="ro-RO"/>
        </w:rPr>
        <w:t xml:space="preserve"> –</w:t>
      </w:r>
      <w:r w:rsidRPr="00606723">
        <w:rPr>
          <w:rFonts w:ascii="Times New Roman" w:hAnsi="Times New Roman"/>
          <w:sz w:val="24"/>
          <w:szCs w:val="24"/>
          <w:lang w:val="ro-RO"/>
        </w:rPr>
        <w:t xml:space="preserve"> </w:t>
      </w:r>
      <w:r w:rsidR="00506845" w:rsidRPr="00606723">
        <w:rPr>
          <w:rFonts w:ascii="Times New Roman" w:hAnsi="Times New Roman"/>
          <w:sz w:val="24"/>
          <w:szCs w:val="24"/>
          <w:lang w:val="ro-RO"/>
        </w:rPr>
        <w:t>Codul</w:t>
      </w:r>
      <w:r w:rsidR="00AA5D64" w:rsidRPr="00606723">
        <w:rPr>
          <w:rFonts w:ascii="Times New Roman" w:hAnsi="Times New Roman"/>
          <w:sz w:val="24"/>
          <w:szCs w:val="24"/>
          <w:lang w:val="ro-RO"/>
        </w:rPr>
        <w:t xml:space="preserve"> </w:t>
      </w:r>
      <w:r w:rsidR="00506845" w:rsidRPr="00606723">
        <w:rPr>
          <w:rFonts w:ascii="Times New Roman" w:hAnsi="Times New Roman"/>
          <w:sz w:val="24"/>
          <w:szCs w:val="24"/>
          <w:lang w:val="ro-RO"/>
        </w:rPr>
        <w:t xml:space="preserve">penal al Republicii Moldova nr. 985-XV din 18 aprilie 2002 (republicat în Monitorul Oficial al Republicii Moldova, 2009, nr. 72–74, art. 195), cu modificările ulterioare, </w:t>
      </w:r>
      <w:r w:rsidRPr="00606723">
        <w:rPr>
          <w:rFonts w:ascii="Times New Roman" w:hAnsi="Times New Roman"/>
          <w:sz w:val="24"/>
          <w:szCs w:val="24"/>
          <w:lang w:val="ro-RO"/>
        </w:rPr>
        <w:t xml:space="preserve">se modifică </w:t>
      </w:r>
      <w:r w:rsidR="00E70AEE" w:rsidRPr="00606723">
        <w:rPr>
          <w:rFonts w:ascii="Times New Roman" w:hAnsi="Times New Roman"/>
          <w:sz w:val="24"/>
          <w:szCs w:val="24"/>
          <w:lang w:val="ro-RO"/>
        </w:rPr>
        <w:t>ş</w:t>
      </w:r>
      <w:r w:rsidRPr="00606723">
        <w:rPr>
          <w:rFonts w:ascii="Times New Roman" w:hAnsi="Times New Roman"/>
          <w:sz w:val="24"/>
          <w:szCs w:val="24"/>
          <w:lang w:val="ro-RO"/>
        </w:rPr>
        <w:t>i se completează după cum urmează:</w:t>
      </w:r>
    </w:p>
    <w:p w:rsidR="002100E6" w:rsidRPr="00606723" w:rsidRDefault="002100E6" w:rsidP="004B063A">
      <w:pPr>
        <w:spacing w:after="0" w:line="240" w:lineRule="auto"/>
        <w:jc w:val="both"/>
        <w:rPr>
          <w:rFonts w:ascii="Times New Roman" w:hAnsi="Times New Roman"/>
          <w:sz w:val="24"/>
          <w:szCs w:val="24"/>
          <w:lang w:val="ro-RO"/>
        </w:rPr>
      </w:pPr>
    </w:p>
    <w:p w:rsidR="00B036D6" w:rsidRPr="00606723" w:rsidRDefault="00B036D6" w:rsidP="00B036D6">
      <w:pPr>
        <w:pStyle w:val="a"/>
        <w:numPr>
          <w:ilvl w:val="0"/>
          <w:numId w:val="1"/>
        </w:numPr>
        <w:tabs>
          <w:tab w:val="left" w:pos="1080"/>
        </w:tabs>
        <w:spacing w:after="0" w:line="240" w:lineRule="auto"/>
        <w:ind w:left="0" w:firstLine="720"/>
        <w:jc w:val="both"/>
        <w:rPr>
          <w:rFonts w:ascii="Times New Roman" w:hAnsi="Times New Roman"/>
          <w:sz w:val="24"/>
          <w:szCs w:val="24"/>
          <w:lang w:val="ro-RO"/>
        </w:rPr>
      </w:pPr>
      <w:r w:rsidRPr="00606723">
        <w:rPr>
          <w:rFonts w:ascii="Times New Roman" w:hAnsi="Times New Roman"/>
          <w:sz w:val="24"/>
          <w:szCs w:val="24"/>
          <w:lang w:val="ro-RO"/>
        </w:rPr>
        <w:t xml:space="preserve">Alineatul (1) al articolului 55 se completează cu textul „cu excepţia infracţiunilor </w:t>
      </w:r>
      <w:r w:rsidRPr="00B036D6">
        <w:rPr>
          <w:rFonts w:ascii="Times New Roman" w:hAnsi="Times New Roman"/>
          <w:sz w:val="24"/>
          <w:szCs w:val="24"/>
          <w:lang w:val="ro-RO"/>
        </w:rPr>
        <w:t xml:space="preserve">prevăzute la  art. </w:t>
      </w:r>
      <w:smartTag w:uri="urn:schemas-microsoft-com:office:smarttags" w:element="metricconverter">
        <w:smartTagPr>
          <w:attr w:name="ProductID" w:val="326”"/>
        </w:smartTagPr>
        <w:r w:rsidRPr="00B036D6">
          <w:rPr>
            <w:rFonts w:ascii="Times New Roman" w:hAnsi="Times New Roman"/>
            <w:sz w:val="24"/>
            <w:szCs w:val="24"/>
            <w:lang w:val="ro-RO"/>
          </w:rPr>
          <w:t>326”</w:t>
        </w:r>
      </w:smartTag>
      <w:r w:rsidRPr="00B036D6">
        <w:rPr>
          <w:rFonts w:ascii="Times New Roman" w:hAnsi="Times New Roman"/>
          <w:sz w:val="24"/>
          <w:szCs w:val="24"/>
          <w:lang w:val="ro-RO"/>
        </w:rPr>
        <w:t>.</w:t>
      </w:r>
    </w:p>
    <w:p w:rsidR="00B036D6" w:rsidRPr="00606723" w:rsidRDefault="00B036D6" w:rsidP="00B036D6">
      <w:pPr>
        <w:pStyle w:val="a"/>
        <w:tabs>
          <w:tab w:val="left" w:pos="1080"/>
        </w:tabs>
        <w:spacing w:after="0" w:line="240" w:lineRule="auto"/>
        <w:ind w:left="0"/>
        <w:jc w:val="both"/>
        <w:rPr>
          <w:rFonts w:ascii="Times New Roman" w:hAnsi="Times New Roman"/>
          <w:sz w:val="24"/>
          <w:szCs w:val="24"/>
          <w:lang w:val="ro-RO"/>
        </w:rPr>
      </w:pPr>
    </w:p>
    <w:p w:rsidR="00B036D6" w:rsidRPr="00606723" w:rsidRDefault="00B036D6" w:rsidP="00B036D6">
      <w:pPr>
        <w:pStyle w:val="a"/>
        <w:numPr>
          <w:ilvl w:val="0"/>
          <w:numId w:val="1"/>
        </w:numPr>
        <w:tabs>
          <w:tab w:val="left" w:pos="1080"/>
        </w:tabs>
        <w:spacing w:after="0" w:line="240" w:lineRule="auto"/>
        <w:ind w:left="0" w:firstLine="720"/>
        <w:jc w:val="both"/>
        <w:rPr>
          <w:rFonts w:ascii="Times New Roman" w:hAnsi="Times New Roman"/>
          <w:sz w:val="24"/>
          <w:szCs w:val="24"/>
          <w:lang w:val="ro-RO"/>
        </w:rPr>
      </w:pPr>
      <w:r w:rsidRPr="00606723">
        <w:rPr>
          <w:rFonts w:ascii="Times New Roman" w:hAnsi="Times New Roman"/>
          <w:sz w:val="24"/>
          <w:szCs w:val="24"/>
          <w:lang w:val="ro-RO"/>
        </w:rPr>
        <w:t>În articolul 64:</w:t>
      </w:r>
    </w:p>
    <w:p w:rsidR="00B036D6" w:rsidRPr="00606723" w:rsidRDefault="00B036D6" w:rsidP="00B036D6">
      <w:pPr>
        <w:pStyle w:val="a"/>
        <w:tabs>
          <w:tab w:val="left" w:pos="720"/>
        </w:tabs>
        <w:spacing w:after="0" w:line="240" w:lineRule="auto"/>
        <w:ind w:left="0"/>
        <w:jc w:val="both"/>
        <w:rPr>
          <w:rFonts w:ascii="Times New Roman" w:hAnsi="Times New Roman"/>
          <w:sz w:val="24"/>
          <w:szCs w:val="24"/>
          <w:lang w:val="ro-RO"/>
        </w:rPr>
      </w:pPr>
      <w:r w:rsidRPr="00606723">
        <w:rPr>
          <w:rFonts w:ascii="Times New Roman" w:hAnsi="Times New Roman"/>
          <w:sz w:val="24"/>
          <w:szCs w:val="24"/>
          <w:lang w:val="ro-RO"/>
        </w:rPr>
        <w:tab/>
        <w:t>alineatul (3) va avea următorul cuprins:</w:t>
      </w:r>
    </w:p>
    <w:p w:rsidR="00B036D6" w:rsidRPr="00606723" w:rsidRDefault="00B036D6" w:rsidP="00B036D6">
      <w:pPr>
        <w:spacing w:after="0" w:line="240" w:lineRule="auto"/>
        <w:ind w:firstLine="540"/>
        <w:jc w:val="both"/>
        <w:rPr>
          <w:rFonts w:ascii="Times New Roman" w:hAnsi="Times New Roman"/>
          <w:sz w:val="24"/>
          <w:szCs w:val="24"/>
          <w:lang w:val="ro-RO"/>
        </w:rPr>
      </w:pPr>
      <w:r w:rsidRPr="00606723">
        <w:rPr>
          <w:rFonts w:ascii="Times New Roman" w:hAnsi="Times New Roman"/>
          <w:sz w:val="24"/>
          <w:szCs w:val="24"/>
          <w:lang w:val="ro-RO"/>
        </w:rPr>
        <w:t xml:space="preserve">   „(3) Mărimea amenzii pentru persoanele fizice se stabileşte în limitele de la 150 la 1000 unităţi convenţionale, iar pentru infracţiunile săvîrşite din interes material pînă la 10 000 unităţi convenţionale. Mărimea amenzii se stabileşte în funcţie de gravitatea infracţiunii săvîrşite şi situaţia materială a celui vinovat şi a familie sale. Luînd în considerare circumstanţele cauzei, instanţa judecătorească poate dispune achitarea amenzii în rate pe un termen de pînă la cinci ani.”;</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la alineatul (4) sintagma „la 10 000 unităţi convenţionale” se substituie prin sintagma „la 20 000 unităţi convenţionale”;</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 xml:space="preserve">la alineatul (5) sintagma „în limitele termenelor prevăzute la art. </w:t>
      </w:r>
      <w:smartTag w:uri="urn:schemas-microsoft-com:office:smarttags" w:element="metricconverter">
        <w:smartTagPr>
          <w:attr w:name="ProductID" w:val="70”"/>
        </w:smartTagPr>
        <w:r w:rsidRPr="00606723">
          <w:rPr>
            <w:rFonts w:ascii="Times New Roman" w:hAnsi="Times New Roman"/>
            <w:sz w:val="24"/>
            <w:szCs w:val="24"/>
            <w:lang w:val="ro-RO"/>
          </w:rPr>
          <w:t>70”</w:t>
        </w:r>
      </w:smartTag>
      <w:r w:rsidRPr="00606723">
        <w:rPr>
          <w:rFonts w:ascii="Times New Roman" w:hAnsi="Times New Roman"/>
          <w:sz w:val="24"/>
          <w:szCs w:val="24"/>
          <w:lang w:val="ro-RO"/>
        </w:rPr>
        <w:t xml:space="preserve"> se substituie cu sintagma „în limitele termenelor pedepsei maximale, prevăzute de articolul respectiv al Părţii speciale a prezentului cod”. </w:t>
      </w:r>
    </w:p>
    <w:p w:rsidR="00B036D6" w:rsidRPr="00606723" w:rsidRDefault="00B036D6" w:rsidP="00B036D6">
      <w:pPr>
        <w:spacing w:after="0" w:line="240" w:lineRule="auto"/>
        <w:ind w:firstLine="360"/>
        <w:jc w:val="both"/>
        <w:rPr>
          <w:rFonts w:ascii="Times New Roman" w:hAnsi="Times New Roman"/>
          <w:sz w:val="24"/>
          <w:szCs w:val="24"/>
          <w:lang w:val="ro-RO"/>
        </w:rPr>
      </w:pPr>
    </w:p>
    <w:p w:rsidR="00192BCC" w:rsidRDefault="00192BCC" w:rsidP="00B036D6">
      <w:pPr>
        <w:numPr>
          <w:ilvl w:val="0"/>
          <w:numId w:val="1"/>
        </w:numPr>
        <w:tabs>
          <w:tab w:val="left" w:pos="1080"/>
        </w:tabs>
        <w:spacing w:after="0" w:line="240" w:lineRule="auto"/>
        <w:ind w:left="0" w:firstLine="720"/>
        <w:jc w:val="both"/>
        <w:rPr>
          <w:rFonts w:ascii="Times New Roman" w:hAnsi="Times New Roman"/>
          <w:sz w:val="24"/>
          <w:szCs w:val="24"/>
          <w:lang w:val="ro-RO"/>
        </w:rPr>
      </w:pPr>
      <w:r>
        <w:rPr>
          <w:rFonts w:ascii="Times New Roman" w:hAnsi="Times New Roman"/>
          <w:sz w:val="24"/>
          <w:szCs w:val="24"/>
          <w:lang w:val="ro-RO"/>
        </w:rPr>
        <w:t>Se completează cu articolul 106</w:t>
      </w:r>
      <w:r w:rsidRPr="00192BCC">
        <w:rPr>
          <w:rFonts w:ascii="Times New Roman" w:hAnsi="Times New Roman"/>
          <w:sz w:val="24"/>
          <w:szCs w:val="24"/>
          <w:vertAlign w:val="superscript"/>
          <w:lang w:val="ro-RO"/>
        </w:rPr>
        <w:t>1</w:t>
      </w:r>
      <w:r>
        <w:rPr>
          <w:rFonts w:ascii="Times New Roman" w:hAnsi="Times New Roman"/>
          <w:sz w:val="24"/>
          <w:szCs w:val="24"/>
          <w:lang w:val="ro-RO"/>
        </w:rPr>
        <w:t xml:space="preserve"> cu următorul cuprins:</w:t>
      </w:r>
    </w:p>
    <w:p w:rsidR="00192BCC" w:rsidRDefault="00192BCC" w:rsidP="00192BCC">
      <w:pPr>
        <w:tabs>
          <w:tab w:val="left" w:pos="108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p>
    <w:p w:rsidR="00192BCC" w:rsidRDefault="001E304F" w:rsidP="00192BCC">
      <w:pPr>
        <w:tabs>
          <w:tab w:val="left" w:pos="1080"/>
        </w:tabs>
        <w:spacing w:after="0" w:line="240" w:lineRule="auto"/>
        <w:jc w:val="both"/>
        <w:rPr>
          <w:rFonts w:ascii="Times New Roman" w:hAnsi="Times New Roman"/>
          <w:b/>
          <w:sz w:val="24"/>
          <w:szCs w:val="24"/>
          <w:lang w:val="ro-RO"/>
        </w:rPr>
      </w:pPr>
      <w:r>
        <w:rPr>
          <w:rFonts w:ascii="Times New Roman" w:hAnsi="Times New Roman"/>
          <w:sz w:val="24"/>
          <w:szCs w:val="24"/>
          <w:lang w:val="ro-RO"/>
        </w:rPr>
        <w:tab/>
      </w:r>
      <w:r w:rsidR="00192BCC">
        <w:rPr>
          <w:rFonts w:ascii="Times New Roman" w:hAnsi="Times New Roman"/>
          <w:sz w:val="24"/>
          <w:szCs w:val="24"/>
          <w:lang w:val="ro-RO"/>
        </w:rPr>
        <w:t>„</w:t>
      </w:r>
      <w:r w:rsidR="00192BCC" w:rsidRPr="00192BCC">
        <w:rPr>
          <w:rFonts w:ascii="Times New Roman" w:hAnsi="Times New Roman"/>
          <w:b/>
          <w:sz w:val="24"/>
          <w:szCs w:val="24"/>
          <w:lang w:val="ro-RO"/>
        </w:rPr>
        <w:t>Articolul 106</w:t>
      </w:r>
      <w:r w:rsidR="00192BCC" w:rsidRPr="00192BCC">
        <w:rPr>
          <w:rFonts w:ascii="Times New Roman" w:hAnsi="Times New Roman"/>
          <w:b/>
          <w:sz w:val="24"/>
          <w:szCs w:val="24"/>
          <w:vertAlign w:val="superscript"/>
          <w:lang w:val="ro-RO"/>
        </w:rPr>
        <w:t>1</w:t>
      </w:r>
      <w:r w:rsidR="00192BCC" w:rsidRPr="00192BCC">
        <w:rPr>
          <w:rFonts w:ascii="Times New Roman" w:hAnsi="Times New Roman"/>
          <w:b/>
          <w:sz w:val="24"/>
          <w:szCs w:val="24"/>
          <w:lang w:val="ro-RO"/>
        </w:rPr>
        <w:t>. Confiscarea extinsă</w:t>
      </w:r>
    </w:p>
    <w:p w:rsidR="00192BCC" w:rsidRPr="00192BCC" w:rsidRDefault="00192BCC" w:rsidP="00192BCC">
      <w:pPr>
        <w:pStyle w:val="NormalWeb"/>
        <w:shd w:val="clear" w:color="auto" w:fill="FFFFFF"/>
        <w:spacing w:before="0" w:beforeAutospacing="0" w:after="0" w:afterAutospacing="0"/>
        <w:ind w:firstLine="708"/>
        <w:jc w:val="both"/>
        <w:rPr>
          <w:color w:val="000000"/>
          <w:lang w:val="ro-RO"/>
        </w:rPr>
      </w:pPr>
      <w:r>
        <w:rPr>
          <w:color w:val="000000"/>
          <w:lang w:val="ro-RO"/>
        </w:rPr>
        <w:t xml:space="preserve">(1) </w:t>
      </w:r>
      <w:r w:rsidRPr="00192BCC">
        <w:rPr>
          <w:color w:val="000000"/>
          <w:lang w:val="ro-RO"/>
        </w:rPr>
        <w:t xml:space="preserve"> Sunt supuse confiscării şi alte bunuri </w:t>
      </w:r>
      <w:r>
        <w:rPr>
          <w:color w:val="000000"/>
          <w:lang w:val="ro-RO"/>
        </w:rPr>
        <w:t>dec</w:t>
      </w:r>
      <w:r w:rsidR="00E95789">
        <w:rPr>
          <w:color w:val="000000"/>
          <w:lang w:val="ro-RO"/>
        </w:rPr>
        <w:t>î</w:t>
      </w:r>
      <w:r>
        <w:rPr>
          <w:color w:val="000000"/>
          <w:lang w:val="ro-RO"/>
        </w:rPr>
        <w:t>t cele menţionate la art. 106</w:t>
      </w:r>
      <w:r w:rsidRPr="00192BCC">
        <w:rPr>
          <w:color w:val="000000"/>
          <w:lang w:val="ro-RO"/>
        </w:rPr>
        <w:t xml:space="preserve">, în cazul în care persoana este condamnată pentru comiterea uneia dintre următoarele infracţiuni, dacă fapta </w:t>
      </w:r>
      <w:r w:rsidR="001E304F">
        <w:rPr>
          <w:color w:val="000000"/>
          <w:lang w:val="ro-RO"/>
        </w:rPr>
        <w:t xml:space="preserve">a fost comisă din interes </w:t>
      </w:r>
      <w:r w:rsidRPr="00192BCC">
        <w:rPr>
          <w:color w:val="000000"/>
          <w:lang w:val="ro-RO"/>
        </w:rPr>
        <w:t>material şi pedeapsa prevăzută de lege este închisoarea de 5 ani sau mai mare:</w:t>
      </w:r>
    </w:p>
    <w:p w:rsidR="00192BCC" w:rsidRPr="00192BCC" w:rsidRDefault="00192BCC" w:rsidP="00722E01">
      <w:pPr>
        <w:pStyle w:val="NormalWeb"/>
        <w:numPr>
          <w:ilvl w:val="1"/>
          <w:numId w:val="1"/>
        </w:numPr>
        <w:shd w:val="clear" w:color="auto" w:fill="FFFFFF"/>
        <w:spacing w:before="0" w:beforeAutospacing="0" w:after="0" w:afterAutospacing="0"/>
        <w:ind w:left="0" w:firstLine="1080"/>
        <w:jc w:val="both"/>
        <w:rPr>
          <w:color w:val="000000"/>
          <w:lang w:val="ro-RO"/>
        </w:rPr>
      </w:pPr>
      <w:r w:rsidRPr="00192BCC">
        <w:rPr>
          <w:color w:val="000000"/>
          <w:lang w:val="ro-RO"/>
        </w:rPr>
        <w:t xml:space="preserve">infracţiuni privind </w:t>
      </w:r>
      <w:r w:rsidR="000D0D9E">
        <w:rPr>
          <w:color w:val="000000"/>
          <w:lang w:val="ro-RO"/>
        </w:rPr>
        <w:t xml:space="preserve">circulaţia ilegală </w:t>
      </w:r>
      <w:r w:rsidRPr="00192BCC">
        <w:rPr>
          <w:color w:val="000000"/>
          <w:lang w:val="ro-RO"/>
        </w:rPr>
        <w:t xml:space="preserve">de </w:t>
      </w:r>
      <w:r w:rsidR="001E304F">
        <w:rPr>
          <w:color w:val="000000"/>
          <w:lang w:val="ro-RO"/>
        </w:rPr>
        <w:t xml:space="preserve">substanţe narcotice, psihotrope </w:t>
      </w:r>
      <w:r w:rsidRPr="00192BCC">
        <w:rPr>
          <w:color w:val="000000"/>
          <w:lang w:val="ro-RO"/>
        </w:rPr>
        <w:t>şi precursori;</w:t>
      </w:r>
    </w:p>
    <w:p w:rsidR="00192BCC" w:rsidRDefault="00192BCC" w:rsidP="00722E01">
      <w:pPr>
        <w:pStyle w:val="NormalWeb"/>
        <w:numPr>
          <w:ilvl w:val="1"/>
          <w:numId w:val="1"/>
        </w:numPr>
        <w:shd w:val="clear" w:color="auto" w:fill="FFFFFF"/>
        <w:spacing w:before="0" w:beforeAutospacing="0" w:after="0" w:afterAutospacing="0"/>
        <w:ind w:left="0" w:firstLine="1080"/>
        <w:jc w:val="both"/>
        <w:rPr>
          <w:color w:val="000000"/>
          <w:lang w:val="ro-RO"/>
        </w:rPr>
      </w:pPr>
      <w:r w:rsidRPr="00192BCC">
        <w:rPr>
          <w:color w:val="000000"/>
          <w:lang w:val="ro-RO"/>
        </w:rPr>
        <w:t xml:space="preserve">infracţiuni privind traficul de </w:t>
      </w:r>
      <w:r w:rsidR="008D6DF1">
        <w:rPr>
          <w:color w:val="000000"/>
          <w:lang w:val="ro-RO"/>
        </w:rPr>
        <w:t>fiinţe umane</w:t>
      </w:r>
      <w:r w:rsidR="001B3B06">
        <w:rPr>
          <w:color w:val="000000"/>
          <w:lang w:val="ro-RO"/>
        </w:rPr>
        <w:t xml:space="preserve"> şi traficul de copii</w:t>
      </w:r>
      <w:r w:rsidRPr="00192BCC">
        <w:rPr>
          <w:color w:val="000000"/>
          <w:lang w:val="ro-RO"/>
        </w:rPr>
        <w:t>;</w:t>
      </w:r>
    </w:p>
    <w:p w:rsidR="00DF43E9" w:rsidRPr="00192BCC" w:rsidRDefault="00DF43E9" w:rsidP="00722E01">
      <w:pPr>
        <w:pStyle w:val="NormalWeb"/>
        <w:numPr>
          <w:ilvl w:val="1"/>
          <w:numId w:val="1"/>
        </w:numPr>
        <w:shd w:val="clear" w:color="auto" w:fill="FFFFFF"/>
        <w:spacing w:before="0" w:beforeAutospacing="0" w:after="0" w:afterAutospacing="0"/>
        <w:ind w:left="0" w:firstLine="1080"/>
        <w:jc w:val="both"/>
        <w:rPr>
          <w:color w:val="000000"/>
          <w:lang w:val="ro-RO"/>
        </w:rPr>
      </w:pPr>
      <w:r>
        <w:rPr>
          <w:color w:val="000000"/>
          <w:lang w:val="ro-RO"/>
        </w:rPr>
        <w:t>infracţiunea privind pornografia infantilă;</w:t>
      </w:r>
    </w:p>
    <w:p w:rsidR="000D0D9E" w:rsidRPr="00192BCC" w:rsidRDefault="00722E01" w:rsidP="00722E01">
      <w:pPr>
        <w:pStyle w:val="NormalWeb"/>
        <w:numPr>
          <w:ilvl w:val="1"/>
          <w:numId w:val="1"/>
        </w:numPr>
        <w:shd w:val="clear" w:color="auto" w:fill="FFFFFF"/>
        <w:spacing w:before="0" w:beforeAutospacing="0" w:after="0" w:afterAutospacing="0"/>
        <w:ind w:left="0" w:firstLine="1080"/>
        <w:jc w:val="both"/>
        <w:rPr>
          <w:color w:val="000000"/>
          <w:lang w:val="ro-RO"/>
        </w:rPr>
      </w:pPr>
      <w:r>
        <w:rPr>
          <w:color w:val="000000"/>
          <w:lang w:val="ro-RO"/>
        </w:rPr>
        <w:t xml:space="preserve">infracţiunea de </w:t>
      </w:r>
      <w:r w:rsidR="000D0D9E" w:rsidRPr="00192BCC">
        <w:rPr>
          <w:color w:val="000000"/>
          <w:lang w:val="ro-RO"/>
        </w:rPr>
        <w:t>proxenetism;</w:t>
      </w:r>
    </w:p>
    <w:p w:rsidR="00192BCC" w:rsidRDefault="00192BCC" w:rsidP="00722E01">
      <w:pPr>
        <w:pStyle w:val="NormalWeb"/>
        <w:numPr>
          <w:ilvl w:val="1"/>
          <w:numId w:val="1"/>
        </w:numPr>
        <w:shd w:val="clear" w:color="auto" w:fill="FFFFFF"/>
        <w:spacing w:before="0" w:beforeAutospacing="0" w:after="0" w:afterAutospacing="0"/>
        <w:ind w:left="0" w:firstLine="1080"/>
        <w:jc w:val="both"/>
        <w:rPr>
          <w:color w:val="000000"/>
          <w:lang w:val="ro-RO"/>
        </w:rPr>
      </w:pPr>
      <w:r w:rsidRPr="00192BCC">
        <w:rPr>
          <w:color w:val="000000"/>
          <w:lang w:val="ro-RO"/>
        </w:rPr>
        <w:t>infracţiunea de spălare a banilor;</w:t>
      </w:r>
    </w:p>
    <w:p w:rsidR="000D0D9E" w:rsidRPr="00471F68" w:rsidRDefault="000D0D9E" w:rsidP="00722E01">
      <w:pPr>
        <w:pStyle w:val="NormalWeb"/>
        <w:numPr>
          <w:ilvl w:val="1"/>
          <w:numId w:val="1"/>
        </w:numPr>
        <w:shd w:val="clear" w:color="auto" w:fill="FFFFFF"/>
        <w:spacing w:before="0" w:beforeAutospacing="0" w:after="0" w:afterAutospacing="0"/>
        <w:ind w:left="0" w:firstLine="1080"/>
        <w:jc w:val="both"/>
        <w:rPr>
          <w:bCs/>
          <w:color w:val="000000"/>
          <w:lang w:val="ro-RO"/>
        </w:rPr>
      </w:pPr>
      <w:r>
        <w:rPr>
          <w:color w:val="000000"/>
          <w:lang w:val="ro-RO"/>
        </w:rPr>
        <w:t>i</w:t>
      </w:r>
      <w:r w:rsidRPr="00471F68">
        <w:rPr>
          <w:bCs/>
          <w:color w:val="000000"/>
          <w:lang w:val="ro-RO"/>
        </w:rPr>
        <w:t>nfracţiuni cu caracter terorist;</w:t>
      </w:r>
    </w:p>
    <w:p w:rsidR="00192BCC" w:rsidRPr="00192BCC" w:rsidRDefault="000D0D9E" w:rsidP="00722E01">
      <w:pPr>
        <w:pStyle w:val="NormalWeb"/>
        <w:numPr>
          <w:ilvl w:val="1"/>
          <w:numId w:val="1"/>
        </w:numPr>
        <w:shd w:val="clear" w:color="auto" w:fill="FFFFFF"/>
        <w:spacing w:before="0" w:beforeAutospacing="0" w:after="0" w:afterAutospacing="0"/>
        <w:ind w:left="0" w:firstLine="1080"/>
        <w:jc w:val="both"/>
        <w:rPr>
          <w:color w:val="000000"/>
          <w:lang w:val="ro-RO"/>
        </w:rPr>
      </w:pPr>
      <w:r w:rsidRPr="00192BCC">
        <w:rPr>
          <w:color w:val="000000"/>
          <w:lang w:val="ro-RO"/>
        </w:rPr>
        <w:t>infracţiuni privitoare la nerespectarea regimului armelor şi muniţiilor, materialelor nucleare sau al altor materii radioactive şi materiilor explozive;</w:t>
      </w:r>
    </w:p>
    <w:p w:rsidR="00192BCC" w:rsidRPr="00192BCC" w:rsidRDefault="00722E01" w:rsidP="00722E01">
      <w:pPr>
        <w:pStyle w:val="NormalWeb"/>
        <w:numPr>
          <w:ilvl w:val="1"/>
          <w:numId w:val="1"/>
        </w:numPr>
        <w:shd w:val="clear" w:color="auto" w:fill="FFFFFF"/>
        <w:spacing w:before="0" w:beforeAutospacing="0" w:after="0" w:afterAutospacing="0"/>
        <w:ind w:left="0" w:firstLine="1080"/>
        <w:jc w:val="both"/>
        <w:rPr>
          <w:color w:val="000000"/>
          <w:lang w:val="ro-RO"/>
        </w:rPr>
      </w:pPr>
      <w:r>
        <w:rPr>
          <w:color w:val="000000"/>
          <w:lang w:val="ro-RO"/>
        </w:rPr>
        <w:t>infracţiuni cu caracter economic;</w:t>
      </w:r>
    </w:p>
    <w:p w:rsidR="00192BCC" w:rsidRPr="00192BCC" w:rsidRDefault="00DF43E9" w:rsidP="00722E01">
      <w:pPr>
        <w:pStyle w:val="NormalWeb"/>
        <w:numPr>
          <w:ilvl w:val="1"/>
          <w:numId w:val="1"/>
        </w:numPr>
        <w:shd w:val="clear" w:color="auto" w:fill="FFFFFF"/>
        <w:spacing w:before="0" w:beforeAutospacing="0" w:after="0" w:afterAutospacing="0"/>
        <w:ind w:left="0" w:firstLine="1080"/>
        <w:jc w:val="both"/>
        <w:rPr>
          <w:color w:val="000000"/>
          <w:lang w:val="ro-RO"/>
        </w:rPr>
      </w:pPr>
      <w:r>
        <w:rPr>
          <w:color w:val="000000"/>
          <w:lang w:val="ro-RO"/>
        </w:rPr>
        <w:t>organizarea migraţiei ilegale</w:t>
      </w:r>
      <w:r w:rsidR="00192BCC" w:rsidRPr="00192BCC">
        <w:rPr>
          <w:color w:val="000000"/>
          <w:lang w:val="ro-RO"/>
        </w:rPr>
        <w:t>;</w:t>
      </w:r>
    </w:p>
    <w:p w:rsidR="00192BCC" w:rsidRPr="00192BCC" w:rsidRDefault="000D0D9E" w:rsidP="00722E01">
      <w:pPr>
        <w:pStyle w:val="NormalWeb"/>
        <w:numPr>
          <w:ilvl w:val="1"/>
          <w:numId w:val="1"/>
        </w:numPr>
        <w:shd w:val="clear" w:color="auto" w:fill="FFFFFF"/>
        <w:spacing w:before="0" w:beforeAutospacing="0" w:after="0" w:afterAutospacing="0"/>
        <w:ind w:left="0" w:firstLine="1080"/>
        <w:jc w:val="both"/>
        <w:rPr>
          <w:color w:val="000000"/>
          <w:lang w:val="ro-RO"/>
        </w:rPr>
      </w:pPr>
      <w:r>
        <w:rPr>
          <w:color w:val="000000"/>
          <w:lang w:val="ro-RO"/>
        </w:rPr>
        <w:t xml:space="preserve">infracţiuni de corupţie şi </w:t>
      </w:r>
      <w:r w:rsidR="00192BCC" w:rsidRPr="00192BCC">
        <w:rPr>
          <w:color w:val="000000"/>
          <w:lang w:val="ro-RO"/>
        </w:rPr>
        <w:t xml:space="preserve">infracţiuni </w:t>
      </w:r>
      <w:r>
        <w:rPr>
          <w:color w:val="000000"/>
          <w:lang w:val="ro-RO"/>
        </w:rPr>
        <w:t>conexe</w:t>
      </w:r>
      <w:r w:rsidR="00192BCC" w:rsidRPr="00192BCC">
        <w:rPr>
          <w:color w:val="000000"/>
          <w:lang w:val="ro-RO"/>
        </w:rPr>
        <w:t xml:space="preserve"> infracţiunilor de corupţie, infracţiuni în legătu</w:t>
      </w:r>
      <w:r w:rsidR="00E95789">
        <w:rPr>
          <w:color w:val="000000"/>
          <w:lang w:val="ro-RO"/>
        </w:rPr>
        <w:t>ră cu infracţiunile de corupţie</w:t>
      </w:r>
      <w:r w:rsidR="00192BCC" w:rsidRPr="00192BCC">
        <w:rPr>
          <w:color w:val="000000"/>
          <w:lang w:val="ro-RO"/>
        </w:rPr>
        <w:t>;</w:t>
      </w:r>
    </w:p>
    <w:p w:rsidR="00192BCC" w:rsidRPr="00192BCC" w:rsidRDefault="00192BCC" w:rsidP="00722E01">
      <w:pPr>
        <w:pStyle w:val="NormalWeb"/>
        <w:numPr>
          <w:ilvl w:val="1"/>
          <w:numId w:val="1"/>
        </w:numPr>
        <w:shd w:val="clear" w:color="auto" w:fill="FFFFFF"/>
        <w:spacing w:before="0" w:beforeAutospacing="0" w:after="0" w:afterAutospacing="0"/>
        <w:ind w:left="0" w:firstLine="1080"/>
        <w:jc w:val="both"/>
        <w:rPr>
          <w:color w:val="000000"/>
          <w:lang w:val="ro-RO"/>
        </w:rPr>
      </w:pPr>
      <w:r w:rsidRPr="00192BCC">
        <w:rPr>
          <w:color w:val="000000"/>
          <w:lang w:val="ro-RO"/>
        </w:rPr>
        <w:t>infracţiuni de evaziune fiscală;</w:t>
      </w:r>
    </w:p>
    <w:p w:rsidR="00192BCC" w:rsidRPr="00192BCC" w:rsidRDefault="00192BCC" w:rsidP="00722E01">
      <w:pPr>
        <w:pStyle w:val="NormalWeb"/>
        <w:numPr>
          <w:ilvl w:val="1"/>
          <w:numId w:val="1"/>
        </w:numPr>
        <w:shd w:val="clear" w:color="auto" w:fill="FFFFFF"/>
        <w:spacing w:before="0" w:beforeAutospacing="0" w:after="0" w:afterAutospacing="0"/>
        <w:ind w:left="0" w:firstLine="1080"/>
        <w:jc w:val="both"/>
        <w:rPr>
          <w:color w:val="000000"/>
          <w:lang w:val="ro-RO"/>
        </w:rPr>
      </w:pPr>
      <w:r w:rsidRPr="00192BCC">
        <w:rPr>
          <w:color w:val="000000"/>
          <w:lang w:val="ro-RO"/>
        </w:rPr>
        <w:t>infracţiuni privind regimul vamal;</w:t>
      </w:r>
    </w:p>
    <w:p w:rsidR="00192BCC" w:rsidRPr="00192BCC" w:rsidRDefault="00192BCC" w:rsidP="00722E01">
      <w:pPr>
        <w:pStyle w:val="NormalWeb"/>
        <w:numPr>
          <w:ilvl w:val="1"/>
          <w:numId w:val="1"/>
        </w:numPr>
        <w:shd w:val="clear" w:color="auto" w:fill="FFFFFF"/>
        <w:spacing w:before="0" w:beforeAutospacing="0" w:after="0" w:afterAutospacing="0"/>
        <w:ind w:left="0" w:firstLine="1080"/>
        <w:jc w:val="both"/>
        <w:rPr>
          <w:color w:val="000000"/>
          <w:lang w:val="ro-RO"/>
        </w:rPr>
      </w:pPr>
      <w:r w:rsidRPr="00192BCC">
        <w:rPr>
          <w:color w:val="000000"/>
          <w:lang w:val="ro-RO"/>
        </w:rPr>
        <w:t xml:space="preserve">infracţiunea de  </w:t>
      </w:r>
      <w:r w:rsidR="00722E01">
        <w:rPr>
          <w:color w:val="000000"/>
          <w:lang w:val="ro-RO"/>
        </w:rPr>
        <w:t>insolvabilitate intenţionată</w:t>
      </w:r>
      <w:r w:rsidRPr="00192BCC">
        <w:rPr>
          <w:color w:val="000000"/>
          <w:lang w:val="ro-RO"/>
        </w:rPr>
        <w:t>;</w:t>
      </w:r>
    </w:p>
    <w:p w:rsidR="00192BCC" w:rsidRPr="00192BCC" w:rsidRDefault="00192BCC" w:rsidP="00722E01">
      <w:pPr>
        <w:pStyle w:val="NormalWeb"/>
        <w:numPr>
          <w:ilvl w:val="1"/>
          <w:numId w:val="1"/>
        </w:numPr>
        <w:shd w:val="clear" w:color="auto" w:fill="FFFFFF"/>
        <w:spacing w:before="0" w:beforeAutospacing="0" w:after="0" w:afterAutospacing="0"/>
        <w:ind w:left="0" w:firstLine="1080"/>
        <w:jc w:val="both"/>
        <w:rPr>
          <w:color w:val="000000"/>
          <w:lang w:val="ro-RO"/>
        </w:rPr>
      </w:pPr>
      <w:r w:rsidRPr="00192BCC">
        <w:rPr>
          <w:color w:val="000000"/>
          <w:lang w:val="ro-RO"/>
        </w:rPr>
        <w:t>infracţiuni săv</w:t>
      </w:r>
      <w:r w:rsidR="00E95789">
        <w:rPr>
          <w:color w:val="000000"/>
          <w:lang w:val="ro-RO"/>
        </w:rPr>
        <w:t>î</w:t>
      </w:r>
      <w:r w:rsidRPr="00192BCC">
        <w:rPr>
          <w:color w:val="000000"/>
          <w:lang w:val="ro-RO"/>
        </w:rPr>
        <w:t>rşite prin intermediul sistemelor informatice şi al mijloacelor de plată electronice;</w:t>
      </w:r>
    </w:p>
    <w:p w:rsidR="00192BCC" w:rsidRPr="00192BCC" w:rsidRDefault="00192BCC" w:rsidP="00722E01">
      <w:pPr>
        <w:pStyle w:val="NormalWeb"/>
        <w:numPr>
          <w:ilvl w:val="1"/>
          <w:numId w:val="1"/>
        </w:numPr>
        <w:shd w:val="clear" w:color="auto" w:fill="FFFFFF"/>
        <w:spacing w:before="0" w:beforeAutospacing="0" w:after="0" w:afterAutospacing="0"/>
        <w:ind w:left="0" w:firstLine="1080"/>
        <w:jc w:val="both"/>
        <w:rPr>
          <w:color w:val="000000"/>
          <w:lang w:val="ro-RO"/>
        </w:rPr>
      </w:pPr>
      <w:r w:rsidRPr="00192BCC">
        <w:rPr>
          <w:color w:val="000000"/>
          <w:lang w:val="ro-RO"/>
        </w:rPr>
        <w:t>traficul de organe, ţesuturi sau celule de origine umană.</w:t>
      </w:r>
    </w:p>
    <w:p w:rsidR="00192BCC" w:rsidRPr="00192BCC" w:rsidRDefault="00192BCC" w:rsidP="00192BCC">
      <w:pPr>
        <w:pStyle w:val="NormalWeb"/>
        <w:shd w:val="clear" w:color="auto" w:fill="FFFFFF"/>
        <w:spacing w:before="0" w:beforeAutospacing="0" w:after="0" w:afterAutospacing="0"/>
        <w:ind w:firstLine="708"/>
        <w:jc w:val="both"/>
        <w:rPr>
          <w:color w:val="000000"/>
          <w:lang w:val="ro-RO"/>
        </w:rPr>
      </w:pPr>
      <w:r>
        <w:rPr>
          <w:color w:val="000000"/>
          <w:lang w:val="ro-RO"/>
        </w:rPr>
        <w:t>(</w:t>
      </w:r>
      <w:r w:rsidRPr="00192BCC">
        <w:rPr>
          <w:color w:val="000000"/>
          <w:lang w:val="ro-RO"/>
        </w:rPr>
        <w:t>2</w:t>
      </w:r>
      <w:r>
        <w:rPr>
          <w:color w:val="000000"/>
          <w:lang w:val="ro-RO"/>
        </w:rPr>
        <w:t>)</w:t>
      </w:r>
      <w:r w:rsidRPr="00192BCC">
        <w:rPr>
          <w:color w:val="000000"/>
          <w:lang w:val="ro-RO"/>
        </w:rPr>
        <w:t xml:space="preserve"> Confiscarea extinsă se dispune dacă sunt îndeplinite cumulativ următoarele condiţii:</w:t>
      </w:r>
    </w:p>
    <w:p w:rsidR="00192BCC" w:rsidRPr="00192BCC" w:rsidRDefault="00192BCC" w:rsidP="00E95789">
      <w:pPr>
        <w:pStyle w:val="NormalWeb"/>
        <w:shd w:val="clear" w:color="auto" w:fill="FFFFFF"/>
        <w:spacing w:before="0" w:beforeAutospacing="0" w:after="0" w:afterAutospacing="0"/>
        <w:ind w:firstLine="720"/>
        <w:jc w:val="both"/>
        <w:rPr>
          <w:color w:val="000000"/>
          <w:lang w:val="ro-RO"/>
        </w:rPr>
      </w:pPr>
      <w:r w:rsidRPr="00192BCC">
        <w:rPr>
          <w:color w:val="000000"/>
          <w:lang w:val="ro-RO"/>
        </w:rPr>
        <w:t>a) valoarea bunurilor dob</w:t>
      </w:r>
      <w:r w:rsidR="00E95789">
        <w:rPr>
          <w:color w:val="000000"/>
          <w:lang w:val="ro-RO"/>
        </w:rPr>
        <w:t>î</w:t>
      </w:r>
      <w:r w:rsidRPr="00192BCC">
        <w:rPr>
          <w:color w:val="000000"/>
          <w:lang w:val="ro-RO"/>
        </w:rPr>
        <w:t>ndite de persoana condamnată, într-o perioadă de 5 ani înainte şi, dacă este cazul, după momentul săv</w:t>
      </w:r>
      <w:r w:rsidR="00E95789">
        <w:rPr>
          <w:color w:val="000000"/>
          <w:lang w:val="ro-RO"/>
        </w:rPr>
        <w:t>î</w:t>
      </w:r>
      <w:r w:rsidRPr="00192BCC">
        <w:rPr>
          <w:color w:val="000000"/>
          <w:lang w:val="ro-RO"/>
        </w:rPr>
        <w:t>rşirii infracţiunii, p</w:t>
      </w:r>
      <w:r w:rsidR="00E95789">
        <w:rPr>
          <w:color w:val="000000"/>
          <w:lang w:val="ro-RO"/>
        </w:rPr>
        <w:t>î</w:t>
      </w:r>
      <w:r w:rsidR="00722E01">
        <w:rPr>
          <w:color w:val="000000"/>
          <w:lang w:val="ro-RO"/>
        </w:rPr>
        <w:t xml:space="preserve">nă la data emiterii </w:t>
      </w:r>
      <w:r w:rsidR="00020452">
        <w:rPr>
          <w:color w:val="000000"/>
          <w:lang w:val="ro-RO"/>
        </w:rPr>
        <w:t>sentinţei</w:t>
      </w:r>
      <w:r w:rsidRPr="00192BCC">
        <w:rPr>
          <w:color w:val="000000"/>
          <w:lang w:val="ro-RO"/>
        </w:rPr>
        <w:t xml:space="preserve">, depăşeşte în mod vădit veniturile obţinute de aceasta în mod </w:t>
      </w:r>
      <w:r w:rsidR="00722E01">
        <w:rPr>
          <w:color w:val="000000"/>
          <w:lang w:val="ro-RO"/>
        </w:rPr>
        <w:t>legal</w:t>
      </w:r>
      <w:r w:rsidRPr="00192BCC">
        <w:rPr>
          <w:color w:val="000000"/>
          <w:lang w:val="ro-RO"/>
        </w:rPr>
        <w:t>;</w:t>
      </w:r>
    </w:p>
    <w:p w:rsidR="00192BCC" w:rsidRPr="00192BCC" w:rsidRDefault="00192BCC" w:rsidP="00E95789">
      <w:pPr>
        <w:pStyle w:val="NormalWeb"/>
        <w:shd w:val="clear" w:color="auto" w:fill="FFFFFF"/>
        <w:spacing w:before="0" w:beforeAutospacing="0" w:after="0" w:afterAutospacing="0"/>
        <w:ind w:firstLine="720"/>
        <w:jc w:val="both"/>
        <w:rPr>
          <w:color w:val="000000"/>
          <w:lang w:val="ro-RO"/>
        </w:rPr>
      </w:pPr>
      <w:r w:rsidRPr="00192BCC">
        <w:rPr>
          <w:color w:val="000000"/>
          <w:lang w:val="ro-RO"/>
        </w:rPr>
        <w:t xml:space="preserve">b) instanţa are convingerea că bunurile respective provin din activităţi infracţionale de natura celor prevăzute la alin. </w:t>
      </w:r>
      <w:r w:rsidR="001E304F">
        <w:rPr>
          <w:color w:val="000000"/>
          <w:lang w:val="ro-RO"/>
        </w:rPr>
        <w:t>(</w:t>
      </w:r>
      <w:r w:rsidRPr="00192BCC">
        <w:rPr>
          <w:color w:val="000000"/>
          <w:lang w:val="ro-RO"/>
        </w:rPr>
        <w:t>1</w:t>
      </w:r>
      <w:r w:rsidR="001E304F">
        <w:rPr>
          <w:color w:val="000000"/>
          <w:lang w:val="ro-RO"/>
        </w:rPr>
        <w:t>)</w:t>
      </w:r>
      <w:r w:rsidRPr="00192BCC">
        <w:rPr>
          <w:color w:val="000000"/>
          <w:lang w:val="ro-RO"/>
        </w:rPr>
        <w:t>.</w:t>
      </w:r>
    </w:p>
    <w:p w:rsidR="00192BCC" w:rsidRPr="00192BCC" w:rsidRDefault="00192BCC" w:rsidP="00192BCC">
      <w:pPr>
        <w:pStyle w:val="NormalWeb"/>
        <w:shd w:val="clear" w:color="auto" w:fill="FFFFFF"/>
        <w:spacing w:before="0" w:beforeAutospacing="0" w:after="0" w:afterAutospacing="0"/>
        <w:ind w:firstLine="708"/>
        <w:jc w:val="both"/>
        <w:rPr>
          <w:color w:val="000000"/>
          <w:lang w:val="ro-RO"/>
        </w:rPr>
      </w:pPr>
      <w:r>
        <w:rPr>
          <w:color w:val="000000"/>
          <w:lang w:val="ro-RO"/>
        </w:rPr>
        <w:t>(</w:t>
      </w:r>
      <w:r w:rsidRPr="00192BCC">
        <w:rPr>
          <w:color w:val="000000"/>
          <w:lang w:val="ro-RO"/>
        </w:rPr>
        <w:t>3</w:t>
      </w:r>
      <w:r>
        <w:rPr>
          <w:color w:val="000000"/>
          <w:lang w:val="ro-RO"/>
        </w:rPr>
        <w:t>)</w:t>
      </w:r>
      <w:r w:rsidRPr="00192BCC">
        <w:rPr>
          <w:color w:val="000000"/>
          <w:lang w:val="ro-RO"/>
        </w:rPr>
        <w:t xml:space="preserve"> </w:t>
      </w:r>
      <w:r w:rsidR="00722E01">
        <w:rPr>
          <w:color w:val="000000"/>
          <w:lang w:val="ro-RO"/>
        </w:rPr>
        <w:t>La a</w:t>
      </w:r>
      <w:r w:rsidRPr="00192BCC">
        <w:rPr>
          <w:color w:val="000000"/>
          <w:lang w:val="ro-RO"/>
        </w:rPr>
        <w:t xml:space="preserve">plicarea </w:t>
      </w:r>
      <w:r w:rsidR="00722E01">
        <w:rPr>
          <w:color w:val="000000"/>
          <w:lang w:val="ro-RO"/>
        </w:rPr>
        <w:t>prevederilor</w:t>
      </w:r>
      <w:r w:rsidRPr="00192BCC">
        <w:rPr>
          <w:color w:val="000000"/>
          <w:lang w:val="ro-RO"/>
        </w:rPr>
        <w:t xml:space="preserve"> alin. </w:t>
      </w:r>
      <w:r w:rsidR="00722E01">
        <w:rPr>
          <w:color w:val="000000"/>
          <w:lang w:val="ro-RO"/>
        </w:rPr>
        <w:t>(</w:t>
      </w:r>
      <w:r w:rsidRPr="00192BCC">
        <w:rPr>
          <w:color w:val="000000"/>
          <w:lang w:val="ro-RO"/>
        </w:rPr>
        <w:t>2</w:t>
      </w:r>
      <w:r w:rsidR="00722E01">
        <w:rPr>
          <w:color w:val="000000"/>
          <w:lang w:val="ro-RO"/>
        </w:rPr>
        <w:t>)</w:t>
      </w:r>
      <w:r w:rsidRPr="00192BCC">
        <w:rPr>
          <w:color w:val="000000"/>
          <w:lang w:val="ro-RO"/>
        </w:rPr>
        <w:t xml:space="preserve"> se </w:t>
      </w:r>
      <w:r w:rsidR="00722E01">
        <w:rPr>
          <w:color w:val="000000"/>
          <w:lang w:val="ro-RO"/>
        </w:rPr>
        <w:t xml:space="preserve">va lua în considerare </w:t>
      </w:r>
      <w:r w:rsidRPr="00192BCC">
        <w:rPr>
          <w:color w:val="000000"/>
          <w:lang w:val="ro-RO"/>
        </w:rPr>
        <w:t xml:space="preserve">şi valoarea bunurilor transferate de către persoana condamnată sau de un terţ unui membru de familie, persoanelor cu care persoana condamnată a stabilit relaţii asemănătoare acelora dintre soţi ori dintre părinţi şi </w:t>
      </w:r>
      <w:r w:rsidRPr="00192BCC">
        <w:rPr>
          <w:color w:val="000000"/>
          <w:lang w:val="ro-RO"/>
        </w:rPr>
        <w:lastRenderedPageBreak/>
        <w:t>copii, în cazul în care convieţuiesc cu acesta, persoanelor juridice asupra cărora persoana condamnată deţine controlul.</w:t>
      </w:r>
    </w:p>
    <w:p w:rsidR="00192BCC" w:rsidRPr="00192BCC" w:rsidRDefault="00192BCC" w:rsidP="00192BCC">
      <w:pPr>
        <w:pStyle w:val="NormalWeb"/>
        <w:shd w:val="clear" w:color="auto" w:fill="FFFFFF"/>
        <w:spacing w:before="0" w:beforeAutospacing="0" w:after="0" w:afterAutospacing="0"/>
        <w:ind w:firstLine="708"/>
        <w:jc w:val="both"/>
        <w:rPr>
          <w:color w:val="000000"/>
          <w:lang w:val="ro-RO"/>
        </w:rPr>
      </w:pPr>
      <w:r>
        <w:rPr>
          <w:color w:val="000000"/>
          <w:lang w:val="ro-RO"/>
        </w:rPr>
        <w:t>(</w:t>
      </w:r>
      <w:r w:rsidRPr="00192BCC">
        <w:rPr>
          <w:color w:val="000000"/>
          <w:lang w:val="ro-RO"/>
        </w:rPr>
        <w:t>4</w:t>
      </w:r>
      <w:r>
        <w:rPr>
          <w:color w:val="000000"/>
          <w:lang w:val="ro-RO"/>
        </w:rPr>
        <w:t>)</w:t>
      </w:r>
      <w:r w:rsidRPr="00192BCC">
        <w:rPr>
          <w:color w:val="000000"/>
          <w:lang w:val="ro-RO"/>
        </w:rPr>
        <w:t xml:space="preserve">  </w:t>
      </w:r>
      <w:r w:rsidRPr="00020452">
        <w:rPr>
          <w:color w:val="000000"/>
          <w:lang w:val="ro-RO"/>
        </w:rPr>
        <w:t>Prin</w:t>
      </w:r>
      <w:r w:rsidRPr="00020452">
        <w:rPr>
          <w:rStyle w:val="apple-converted-space"/>
          <w:color w:val="000000"/>
          <w:lang w:val="ro-RO"/>
        </w:rPr>
        <w:t> </w:t>
      </w:r>
      <w:r w:rsidRPr="0005257B">
        <w:rPr>
          <w:rStyle w:val="Emphasis"/>
          <w:bCs/>
          <w:i w:val="0"/>
          <w:color w:val="000000"/>
          <w:lang w:val="ro-RO"/>
        </w:rPr>
        <w:t>bunuri</w:t>
      </w:r>
      <w:r w:rsidRPr="00020452">
        <w:rPr>
          <w:rStyle w:val="Emphasis"/>
          <w:bCs/>
          <w:color w:val="000000"/>
          <w:lang w:val="ro-RO"/>
        </w:rPr>
        <w:t>,</w:t>
      </w:r>
      <w:r w:rsidRPr="00192BCC">
        <w:rPr>
          <w:rStyle w:val="apple-converted-space"/>
          <w:i/>
          <w:iCs/>
          <w:color w:val="000000"/>
          <w:lang w:val="ro-RO"/>
        </w:rPr>
        <w:t> </w:t>
      </w:r>
      <w:r w:rsidRPr="00192BCC">
        <w:rPr>
          <w:color w:val="000000"/>
          <w:lang w:val="ro-RO"/>
        </w:rPr>
        <w:t>conform prezentului articol, se înţelege şi sumele de bani.</w:t>
      </w:r>
    </w:p>
    <w:p w:rsidR="00192BCC" w:rsidRPr="00192BCC" w:rsidRDefault="00192BCC" w:rsidP="00192BCC">
      <w:pPr>
        <w:pStyle w:val="NormalWeb"/>
        <w:shd w:val="clear" w:color="auto" w:fill="FFFFFF"/>
        <w:spacing w:before="0" w:beforeAutospacing="0" w:after="0" w:afterAutospacing="0"/>
        <w:ind w:firstLine="708"/>
        <w:jc w:val="both"/>
        <w:rPr>
          <w:color w:val="000000"/>
          <w:lang w:val="ro-RO"/>
        </w:rPr>
      </w:pPr>
      <w:r>
        <w:rPr>
          <w:color w:val="000000"/>
          <w:lang w:val="ro-RO"/>
        </w:rPr>
        <w:t>(</w:t>
      </w:r>
      <w:r w:rsidRPr="00192BCC">
        <w:rPr>
          <w:color w:val="000000"/>
          <w:lang w:val="ro-RO"/>
        </w:rPr>
        <w:t>5</w:t>
      </w:r>
      <w:r>
        <w:rPr>
          <w:color w:val="000000"/>
          <w:lang w:val="ro-RO"/>
        </w:rPr>
        <w:t>)</w:t>
      </w:r>
      <w:r w:rsidRPr="00192BCC">
        <w:rPr>
          <w:color w:val="000000"/>
          <w:lang w:val="ro-RO"/>
        </w:rPr>
        <w:t>  La stabilirea diferenţei dintre veniturile licite şi valoarea bunurilor dob</w:t>
      </w:r>
      <w:r w:rsidR="00E95789">
        <w:rPr>
          <w:color w:val="000000"/>
          <w:lang w:val="ro-RO"/>
        </w:rPr>
        <w:t>î</w:t>
      </w:r>
      <w:r w:rsidRPr="00192BCC">
        <w:rPr>
          <w:color w:val="000000"/>
          <w:lang w:val="ro-RO"/>
        </w:rPr>
        <w:t>ndite se vor avea în vedere valoarea bunurilor la data dob</w:t>
      </w:r>
      <w:r w:rsidR="00E95789">
        <w:rPr>
          <w:color w:val="000000"/>
          <w:lang w:val="ro-RO"/>
        </w:rPr>
        <w:t>î</w:t>
      </w:r>
      <w:r w:rsidRPr="00192BCC">
        <w:rPr>
          <w:color w:val="000000"/>
          <w:lang w:val="ro-RO"/>
        </w:rPr>
        <w:t xml:space="preserve">ndirii lor şi cheltuielile făcute de persoana condamnată, persoanele prevăzute la alin. </w:t>
      </w:r>
      <w:r w:rsidR="00722E01">
        <w:rPr>
          <w:color w:val="000000"/>
          <w:lang w:val="ro-RO"/>
        </w:rPr>
        <w:t>(</w:t>
      </w:r>
      <w:r w:rsidRPr="00192BCC">
        <w:rPr>
          <w:color w:val="000000"/>
          <w:lang w:val="ro-RO"/>
        </w:rPr>
        <w:t>3</w:t>
      </w:r>
      <w:r w:rsidR="00722E01">
        <w:rPr>
          <w:color w:val="000000"/>
          <w:lang w:val="ro-RO"/>
        </w:rPr>
        <w:t>)</w:t>
      </w:r>
      <w:r w:rsidRPr="00192BCC">
        <w:rPr>
          <w:color w:val="000000"/>
          <w:lang w:val="ro-RO"/>
        </w:rPr>
        <w:t>.</w:t>
      </w:r>
    </w:p>
    <w:p w:rsidR="00192BCC" w:rsidRPr="00192BCC" w:rsidRDefault="00192BCC" w:rsidP="00192BCC">
      <w:pPr>
        <w:pStyle w:val="NormalWeb"/>
        <w:shd w:val="clear" w:color="auto" w:fill="FFFFFF"/>
        <w:spacing w:before="0" w:beforeAutospacing="0" w:after="0" w:afterAutospacing="0"/>
        <w:ind w:firstLine="708"/>
        <w:jc w:val="both"/>
        <w:rPr>
          <w:color w:val="000000"/>
          <w:lang w:val="ro-RO"/>
        </w:rPr>
      </w:pPr>
      <w:r>
        <w:rPr>
          <w:color w:val="000000"/>
          <w:lang w:val="ro-RO"/>
        </w:rPr>
        <w:t>(</w:t>
      </w:r>
      <w:r w:rsidRPr="00192BCC">
        <w:rPr>
          <w:color w:val="000000"/>
          <w:lang w:val="ro-RO"/>
        </w:rPr>
        <w:t>6</w:t>
      </w:r>
      <w:r>
        <w:rPr>
          <w:color w:val="000000"/>
          <w:lang w:val="ro-RO"/>
        </w:rPr>
        <w:t>)</w:t>
      </w:r>
      <w:r w:rsidRPr="00192BCC">
        <w:rPr>
          <w:color w:val="000000"/>
          <w:lang w:val="ro-RO"/>
        </w:rPr>
        <w:t xml:space="preserve">  Dacă bunurile supuse confiscării nu se găsesc, în locul lor se confiscă bani şi bunuri </w:t>
      </w:r>
      <w:r w:rsidR="00722E01">
        <w:rPr>
          <w:color w:val="000000"/>
          <w:lang w:val="ro-RO"/>
        </w:rPr>
        <w:t xml:space="preserve">care acoperă </w:t>
      </w:r>
      <w:r w:rsidRPr="00192BCC">
        <w:rPr>
          <w:color w:val="000000"/>
          <w:lang w:val="ro-RO"/>
        </w:rPr>
        <w:t>valo</w:t>
      </w:r>
      <w:r w:rsidR="00722E01">
        <w:rPr>
          <w:color w:val="000000"/>
          <w:lang w:val="ro-RO"/>
        </w:rPr>
        <w:t>a</w:t>
      </w:r>
      <w:r w:rsidRPr="00192BCC">
        <w:rPr>
          <w:color w:val="000000"/>
          <w:lang w:val="ro-RO"/>
        </w:rPr>
        <w:t>r</w:t>
      </w:r>
      <w:r w:rsidR="00722E01">
        <w:rPr>
          <w:color w:val="000000"/>
          <w:lang w:val="ro-RO"/>
        </w:rPr>
        <w:t>ea</w:t>
      </w:r>
      <w:r w:rsidRPr="00192BCC">
        <w:rPr>
          <w:color w:val="000000"/>
          <w:lang w:val="ro-RO"/>
        </w:rPr>
        <w:t xml:space="preserve"> acestora.</w:t>
      </w:r>
    </w:p>
    <w:p w:rsidR="00192BCC" w:rsidRPr="00192BCC" w:rsidRDefault="00192BCC" w:rsidP="00192BCC">
      <w:pPr>
        <w:pStyle w:val="NormalWeb"/>
        <w:shd w:val="clear" w:color="auto" w:fill="FFFFFF"/>
        <w:spacing w:before="0" w:beforeAutospacing="0" w:after="0" w:afterAutospacing="0"/>
        <w:ind w:firstLine="708"/>
        <w:jc w:val="both"/>
        <w:rPr>
          <w:color w:val="000000"/>
          <w:lang w:val="ro-RO"/>
        </w:rPr>
      </w:pPr>
      <w:r>
        <w:rPr>
          <w:color w:val="000000"/>
          <w:lang w:val="ro-RO"/>
        </w:rPr>
        <w:t>(</w:t>
      </w:r>
      <w:r w:rsidRPr="00192BCC">
        <w:rPr>
          <w:color w:val="000000"/>
          <w:lang w:val="ro-RO"/>
        </w:rPr>
        <w:t>7</w:t>
      </w:r>
      <w:r>
        <w:rPr>
          <w:color w:val="000000"/>
          <w:lang w:val="ro-RO"/>
        </w:rPr>
        <w:t>)</w:t>
      </w:r>
      <w:r w:rsidRPr="00192BCC">
        <w:rPr>
          <w:color w:val="000000"/>
          <w:lang w:val="ro-RO"/>
        </w:rPr>
        <w:t xml:space="preserve"> Se confiscă, de asemenea, bunurile şi banii obţinuţi din exploatarea sau folosirea bunurilor supuse confiscării.</w:t>
      </w:r>
    </w:p>
    <w:p w:rsidR="00192BCC" w:rsidRPr="00192BCC" w:rsidRDefault="00192BCC" w:rsidP="00192BCC">
      <w:pPr>
        <w:pStyle w:val="NormalWeb"/>
        <w:shd w:val="clear" w:color="auto" w:fill="FFFFFF"/>
        <w:spacing w:before="0" w:beforeAutospacing="0" w:after="0" w:afterAutospacing="0"/>
        <w:ind w:firstLine="708"/>
        <w:jc w:val="both"/>
        <w:rPr>
          <w:color w:val="000000"/>
          <w:lang w:val="ro-RO"/>
        </w:rPr>
      </w:pPr>
      <w:r>
        <w:rPr>
          <w:color w:val="000000"/>
          <w:lang w:val="ro-RO"/>
        </w:rPr>
        <w:t>(</w:t>
      </w:r>
      <w:r w:rsidRPr="00192BCC">
        <w:rPr>
          <w:color w:val="000000"/>
          <w:lang w:val="ro-RO"/>
        </w:rPr>
        <w:t>8</w:t>
      </w:r>
      <w:r>
        <w:rPr>
          <w:color w:val="000000"/>
          <w:lang w:val="ro-RO"/>
        </w:rPr>
        <w:t>)</w:t>
      </w:r>
      <w:r w:rsidRPr="00192BCC">
        <w:rPr>
          <w:color w:val="000000"/>
          <w:lang w:val="ro-RO"/>
        </w:rPr>
        <w:t xml:space="preserve"> Confiscarea nu poate depăşi valoarea bunurilor dob</w:t>
      </w:r>
      <w:r w:rsidR="00E95789">
        <w:rPr>
          <w:color w:val="000000"/>
          <w:lang w:val="ro-RO"/>
        </w:rPr>
        <w:t>î</w:t>
      </w:r>
      <w:r w:rsidRPr="00192BCC">
        <w:rPr>
          <w:color w:val="000000"/>
          <w:lang w:val="ro-RO"/>
        </w:rPr>
        <w:t xml:space="preserve">ndite în perioada prevăzută la alin. </w:t>
      </w:r>
      <w:r w:rsidR="00722E01">
        <w:rPr>
          <w:color w:val="000000"/>
          <w:lang w:val="ro-RO"/>
        </w:rPr>
        <w:t>(</w:t>
      </w:r>
      <w:r w:rsidRPr="00192BCC">
        <w:rPr>
          <w:color w:val="000000"/>
          <w:lang w:val="ro-RO"/>
        </w:rPr>
        <w:t>2</w:t>
      </w:r>
      <w:r w:rsidR="00722E01">
        <w:rPr>
          <w:color w:val="000000"/>
          <w:lang w:val="ro-RO"/>
        </w:rPr>
        <w:t>)</w:t>
      </w:r>
      <w:r w:rsidRPr="00192BCC">
        <w:rPr>
          <w:color w:val="000000"/>
          <w:lang w:val="ro-RO"/>
        </w:rPr>
        <w:t xml:space="preserve">, care excedează nivelului veniturilor </w:t>
      </w:r>
      <w:r w:rsidR="00722E01">
        <w:rPr>
          <w:color w:val="000000"/>
          <w:lang w:val="ro-RO"/>
        </w:rPr>
        <w:t>legale</w:t>
      </w:r>
      <w:r w:rsidRPr="00192BCC">
        <w:rPr>
          <w:color w:val="000000"/>
          <w:lang w:val="ro-RO"/>
        </w:rPr>
        <w:t xml:space="preserve"> ale persoanei condamnate.”</w:t>
      </w:r>
    </w:p>
    <w:p w:rsidR="00192BCC" w:rsidRDefault="00192BCC" w:rsidP="00192BCC">
      <w:pPr>
        <w:tabs>
          <w:tab w:val="left" w:pos="1080"/>
        </w:tabs>
        <w:spacing w:after="0" w:line="240" w:lineRule="auto"/>
        <w:jc w:val="both"/>
        <w:rPr>
          <w:rFonts w:ascii="Times New Roman" w:hAnsi="Times New Roman"/>
          <w:sz w:val="24"/>
          <w:szCs w:val="24"/>
          <w:lang w:val="ro-RO"/>
        </w:rPr>
      </w:pPr>
    </w:p>
    <w:p w:rsidR="00B036D6" w:rsidRPr="00606723" w:rsidRDefault="00B036D6" w:rsidP="00B036D6">
      <w:pPr>
        <w:numPr>
          <w:ilvl w:val="0"/>
          <w:numId w:val="1"/>
        </w:numPr>
        <w:tabs>
          <w:tab w:val="left" w:pos="1080"/>
        </w:tabs>
        <w:spacing w:after="0" w:line="240" w:lineRule="auto"/>
        <w:ind w:left="0" w:firstLine="720"/>
        <w:jc w:val="both"/>
        <w:rPr>
          <w:rFonts w:ascii="Times New Roman" w:hAnsi="Times New Roman"/>
          <w:sz w:val="24"/>
          <w:szCs w:val="24"/>
          <w:lang w:val="ro-RO"/>
        </w:rPr>
      </w:pPr>
      <w:r w:rsidRPr="00606723">
        <w:rPr>
          <w:rFonts w:ascii="Times New Roman" w:hAnsi="Times New Roman"/>
          <w:sz w:val="24"/>
          <w:szCs w:val="24"/>
          <w:lang w:val="ro-RO"/>
        </w:rPr>
        <w:t>La articolul 256:</w:t>
      </w:r>
    </w:p>
    <w:p w:rsidR="00B036D6" w:rsidRPr="00606723" w:rsidRDefault="00B036D6" w:rsidP="00B036D6">
      <w:pPr>
        <w:tabs>
          <w:tab w:val="left" w:pos="1080"/>
        </w:tabs>
        <w:spacing w:after="0" w:line="240" w:lineRule="auto"/>
        <w:jc w:val="both"/>
        <w:rPr>
          <w:rFonts w:ascii="Times New Roman" w:hAnsi="Times New Roman"/>
          <w:sz w:val="24"/>
          <w:szCs w:val="24"/>
          <w:lang w:val="ro-RO"/>
        </w:rPr>
      </w:pPr>
      <w:r w:rsidRPr="00606723">
        <w:rPr>
          <w:rFonts w:ascii="Times New Roman" w:hAnsi="Times New Roman"/>
          <w:sz w:val="24"/>
          <w:szCs w:val="24"/>
          <w:lang w:val="ro-RO"/>
        </w:rPr>
        <w:t xml:space="preserve">            la alineatul (1):</w:t>
      </w:r>
    </w:p>
    <w:p w:rsidR="00B036D6" w:rsidRPr="00606723" w:rsidRDefault="00B036D6" w:rsidP="00B036D6">
      <w:pPr>
        <w:tabs>
          <w:tab w:val="left" w:pos="1080"/>
        </w:tabs>
        <w:spacing w:after="0" w:line="240" w:lineRule="auto"/>
        <w:jc w:val="both"/>
        <w:rPr>
          <w:rFonts w:ascii="Times New Roman" w:hAnsi="Times New Roman"/>
          <w:sz w:val="24"/>
          <w:szCs w:val="24"/>
          <w:lang w:val="ro-RO"/>
        </w:rPr>
      </w:pPr>
      <w:r w:rsidRPr="00606723">
        <w:rPr>
          <w:rFonts w:ascii="Times New Roman" w:hAnsi="Times New Roman"/>
          <w:sz w:val="24"/>
          <w:szCs w:val="24"/>
          <w:lang w:val="ro-RO"/>
        </w:rPr>
        <w:t xml:space="preserve">            în dispoziţie după cuvintele „</w:t>
      </w:r>
      <w:r w:rsidRPr="00606723">
        <w:rPr>
          <w:rFonts w:ascii="Times New Roman" w:hAnsi="Times New Roman"/>
          <w:lang w:val="ro-RO"/>
        </w:rPr>
        <w:t>a unei remuneraţii</w:t>
      </w:r>
      <w:r w:rsidRPr="00606723">
        <w:rPr>
          <w:rFonts w:ascii="Times New Roman" w:hAnsi="Times New Roman"/>
          <w:sz w:val="24"/>
          <w:szCs w:val="24"/>
          <w:lang w:val="ro-RO"/>
        </w:rPr>
        <w:t>” se completează cu cuvintele „sau altor avantaje patrimoniale”;</w:t>
      </w:r>
    </w:p>
    <w:p w:rsidR="00B036D6" w:rsidRPr="00606723" w:rsidRDefault="00B036D6" w:rsidP="00B036D6">
      <w:pPr>
        <w:tabs>
          <w:tab w:val="left" w:pos="1080"/>
        </w:tabs>
        <w:spacing w:after="0" w:line="240" w:lineRule="auto"/>
        <w:jc w:val="both"/>
        <w:rPr>
          <w:rFonts w:ascii="Times New Roman" w:hAnsi="Times New Roman"/>
          <w:sz w:val="24"/>
          <w:szCs w:val="24"/>
          <w:lang w:val="ro-RO"/>
        </w:rPr>
      </w:pPr>
      <w:r w:rsidRPr="00606723">
        <w:rPr>
          <w:rFonts w:ascii="Times New Roman" w:hAnsi="Times New Roman"/>
          <w:sz w:val="24"/>
          <w:szCs w:val="24"/>
          <w:lang w:val="ro-RO"/>
        </w:rPr>
        <w:t xml:space="preserve">            în sancţiune sintagma „de pînă la 200 unităţi convenţionale” se substituie cu sintagma „de la 200 la 400 unităţi convenţionale”;</w:t>
      </w:r>
    </w:p>
    <w:p w:rsidR="00B036D6" w:rsidRPr="00606723" w:rsidRDefault="00B036D6" w:rsidP="00B036D6">
      <w:pPr>
        <w:tabs>
          <w:tab w:val="left" w:pos="1080"/>
        </w:tabs>
        <w:spacing w:after="0" w:line="240" w:lineRule="auto"/>
        <w:jc w:val="both"/>
        <w:rPr>
          <w:rFonts w:ascii="Times New Roman" w:hAnsi="Times New Roman"/>
          <w:sz w:val="24"/>
          <w:szCs w:val="24"/>
          <w:lang w:val="ro-RO"/>
        </w:rPr>
      </w:pPr>
      <w:r w:rsidRPr="00606723">
        <w:rPr>
          <w:rFonts w:ascii="Times New Roman" w:hAnsi="Times New Roman"/>
          <w:sz w:val="24"/>
          <w:szCs w:val="24"/>
          <w:lang w:val="ro-RO"/>
        </w:rPr>
        <w:t xml:space="preserve">            în sancţiunea alineatului (2) sintagma „de la 200 la 400 unităţi convenţionale” se substituie cu sintagma ”de la 400 la 1000 unităţi convenţionale”.</w:t>
      </w:r>
    </w:p>
    <w:p w:rsidR="00B036D6" w:rsidRPr="00606723" w:rsidRDefault="00B036D6" w:rsidP="00B036D6">
      <w:pPr>
        <w:tabs>
          <w:tab w:val="left" w:pos="1080"/>
        </w:tabs>
        <w:spacing w:after="0" w:line="240" w:lineRule="auto"/>
        <w:jc w:val="both"/>
        <w:rPr>
          <w:rFonts w:ascii="Times New Roman" w:hAnsi="Times New Roman"/>
          <w:sz w:val="24"/>
          <w:szCs w:val="24"/>
          <w:lang w:val="ro-RO"/>
        </w:rPr>
      </w:pPr>
    </w:p>
    <w:p w:rsidR="00B036D6" w:rsidRPr="00606723" w:rsidRDefault="00B036D6" w:rsidP="00B036D6">
      <w:pPr>
        <w:numPr>
          <w:ilvl w:val="0"/>
          <w:numId w:val="1"/>
        </w:numPr>
        <w:tabs>
          <w:tab w:val="left" w:pos="1080"/>
        </w:tabs>
        <w:spacing w:after="0" w:line="240" w:lineRule="auto"/>
        <w:ind w:left="0" w:firstLine="720"/>
        <w:jc w:val="both"/>
        <w:rPr>
          <w:rFonts w:ascii="Times New Roman" w:hAnsi="Times New Roman"/>
          <w:sz w:val="24"/>
          <w:szCs w:val="24"/>
          <w:lang w:val="ro-RO"/>
        </w:rPr>
      </w:pPr>
      <w:r w:rsidRPr="00606723">
        <w:rPr>
          <w:rFonts w:ascii="Times New Roman" w:hAnsi="Times New Roman"/>
          <w:sz w:val="24"/>
          <w:szCs w:val="24"/>
          <w:lang w:val="ro-RO"/>
        </w:rPr>
        <w:t xml:space="preserve">La articolul 324: </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sancţiunea alineatului (1) va avea următorul cuprins:</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„se pedepseşte cu amendă în mărime de la 4000 la 6000 unităţi convenţionale sau cu închisoare de la 3 la 7 ani, în ambele cazuri cu privarea de dreptul de a ocupa anumite funcţii sau de a exercita o anumită activitate pe un termen de la 5 la 10 ani.”;</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sancţiunea alineatului (2) va avea următorul cuprins:</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„se pedepsesc cu amendă în mărime de la 6000 la 8000 unităţi convenţionale sau cu</w:t>
      </w:r>
      <w:r w:rsidRPr="00606723">
        <w:rPr>
          <w:rFonts w:ascii="Times New Roman" w:hAnsi="Times New Roman"/>
          <w:sz w:val="24"/>
          <w:szCs w:val="24"/>
          <w:u w:val="single"/>
          <w:lang w:val="ro-RO"/>
        </w:rPr>
        <w:t xml:space="preserve"> </w:t>
      </w:r>
      <w:r w:rsidRPr="00606723">
        <w:rPr>
          <w:rFonts w:ascii="Times New Roman" w:hAnsi="Times New Roman"/>
          <w:sz w:val="24"/>
          <w:szCs w:val="24"/>
          <w:lang w:val="ro-RO"/>
        </w:rPr>
        <w:t>închisoare de la 5 la 10 ani, în ambele cazuri cu privarea de dreptul de a ocupa anumite funcţii sau de a exercita o anumită activitate pe un termen de la 7 la 10 ani.”;</w:t>
      </w:r>
    </w:p>
    <w:p w:rsidR="00B036D6" w:rsidRPr="00606723" w:rsidRDefault="00B036D6" w:rsidP="00B036D6">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sancţiunea alineatului (3) va avea următorul cuprins:</w:t>
      </w:r>
    </w:p>
    <w:p w:rsidR="00B036D6" w:rsidRPr="00606723" w:rsidRDefault="00B036D6" w:rsidP="00B036D6">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„se pedepsesc cu amendă în mărime de la 8000 la 10000 unităţi convenţionale sau cu</w:t>
      </w:r>
      <w:r w:rsidRPr="00606723">
        <w:rPr>
          <w:rFonts w:ascii="Times New Roman" w:hAnsi="Times New Roman"/>
          <w:sz w:val="24"/>
          <w:szCs w:val="24"/>
          <w:u w:val="single"/>
          <w:lang w:val="ro-RO"/>
        </w:rPr>
        <w:t xml:space="preserve"> </w:t>
      </w:r>
      <w:r w:rsidRPr="00606723">
        <w:rPr>
          <w:rFonts w:ascii="Times New Roman" w:hAnsi="Times New Roman"/>
          <w:sz w:val="24"/>
          <w:szCs w:val="24"/>
          <w:lang w:val="ro-RO"/>
        </w:rPr>
        <w:t>închisoare de la 7 la 15 ani, în ambele cazuri cu privarea de dreptul de a ocupa anumite funcţii sau de a exercita o anumită activitate pe un termen de la 10 la 15 ani.”;</w:t>
      </w:r>
    </w:p>
    <w:p w:rsidR="00B036D6" w:rsidRPr="00606723" w:rsidRDefault="00B036D6" w:rsidP="00B036D6">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se completează cu alineatul (4) cu următorul cuprins:</w:t>
      </w:r>
    </w:p>
    <w:p w:rsidR="00B036D6" w:rsidRPr="00606723" w:rsidRDefault="00B036D6" w:rsidP="00B036D6">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„(4) Acţiunile prevăzute la alin. (1), săvîrşite în proporţii care nu depăşesc 100</w:t>
      </w:r>
      <w:r>
        <w:rPr>
          <w:rFonts w:ascii="Times New Roman" w:hAnsi="Times New Roman"/>
          <w:sz w:val="24"/>
          <w:szCs w:val="24"/>
          <w:lang w:val="ro-RO"/>
        </w:rPr>
        <w:t xml:space="preserve"> unităţi convenţionale,</w:t>
      </w:r>
    </w:p>
    <w:p w:rsidR="00B036D6" w:rsidRPr="00606723" w:rsidRDefault="00B036D6" w:rsidP="00B036D6">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se pedepsesc cu amendă în mărime de la 1000 pînă la 2000 unităţi convenţionale cu privarea de dreptul de a ocupa anumite funcţii sau de a exercita o anumită activitate pe un termen de pînă la 5 ani”.</w:t>
      </w:r>
    </w:p>
    <w:p w:rsidR="00B036D6" w:rsidRPr="00606723" w:rsidRDefault="00B036D6" w:rsidP="00B036D6">
      <w:pPr>
        <w:spacing w:after="0" w:line="240" w:lineRule="auto"/>
        <w:jc w:val="both"/>
        <w:rPr>
          <w:rFonts w:ascii="Times New Roman" w:hAnsi="Times New Roman"/>
          <w:sz w:val="24"/>
          <w:szCs w:val="24"/>
          <w:lang w:val="ro-RO"/>
        </w:rPr>
      </w:pPr>
    </w:p>
    <w:p w:rsidR="00B036D6" w:rsidRPr="00606723" w:rsidRDefault="00B036D6" w:rsidP="00B036D6">
      <w:pPr>
        <w:numPr>
          <w:ilvl w:val="0"/>
          <w:numId w:val="1"/>
        </w:numPr>
        <w:tabs>
          <w:tab w:val="left" w:pos="1080"/>
        </w:tabs>
        <w:spacing w:after="0" w:line="240" w:lineRule="auto"/>
        <w:ind w:left="0" w:firstLine="720"/>
        <w:jc w:val="both"/>
        <w:rPr>
          <w:rFonts w:ascii="Times New Roman" w:hAnsi="Times New Roman"/>
          <w:sz w:val="24"/>
          <w:szCs w:val="24"/>
          <w:lang w:val="ro-RO"/>
        </w:rPr>
      </w:pPr>
      <w:r w:rsidRPr="00606723">
        <w:rPr>
          <w:rFonts w:ascii="Times New Roman" w:hAnsi="Times New Roman"/>
          <w:sz w:val="24"/>
          <w:szCs w:val="24"/>
          <w:lang w:val="ro-RO"/>
        </w:rPr>
        <w:t xml:space="preserve">La articolul 325: </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sancţiunea alineatului (1) va avea următorul cuprins:</w:t>
      </w:r>
    </w:p>
    <w:p w:rsidR="00B036D6" w:rsidRPr="00606723" w:rsidRDefault="00B036D6" w:rsidP="00B036D6">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„se pedepseşte cu amendă în mărime de la 2000 la 4000 unităţi convenţionale sau cu închisoare de pînă la 6 ani, iar persoana juridică se pedepseşte cu amendă în mărime de la 6000 la 10000 unităţi convenţionale cu privarea de dreptul de a exercita o anumită activitate.”;</w:t>
      </w:r>
    </w:p>
    <w:p w:rsidR="00B036D6" w:rsidRPr="00606723" w:rsidRDefault="00B036D6" w:rsidP="00B036D6">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sancţiunea alineatului (2) va avea următorul cuprins:</w:t>
      </w:r>
    </w:p>
    <w:p w:rsidR="00B036D6" w:rsidRPr="00606723" w:rsidRDefault="00B036D6" w:rsidP="00B036D6">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„se pedepsesc cu amendă în mărime de la 4000 la 6000 unităţi convenţionale sau cu închisoare de la 3 la 7 ani, iar persoana juridică se pedepseşte cu amendă în mărime de la 10000 la 14000 unităţi convenţionale cu privarea de dreptul de a exercita o anumită activitate.”;</w:t>
      </w:r>
    </w:p>
    <w:p w:rsidR="00B036D6" w:rsidRPr="00606723" w:rsidRDefault="00B036D6" w:rsidP="00B036D6">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sancţiunea alineatului (3) va avea următorul cuprins:</w:t>
      </w:r>
    </w:p>
    <w:p w:rsidR="00B036D6" w:rsidRPr="00606723" w:rsidRDefault="00B036D6" w:rsidP="00B036D6">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lastRenderedPageBreak/>
        <w:t xml:space="preserve">     </w:t>
      </w:r>
      <w:r w:rsidRPr="00606723">
        <w:rPr>
          <w:rFonts w:ascii="Times New Roman" w:hAnsi="Times New Roman"/>
          <w:sz w:val="24"/>
          <w:szCs w:val="24"/>
          <w:lang w:val="ro-RO"/>
        </w:rPr>
        <w:t>„se pedepsesc cu amendă în mărime de la 6000 la 8000 unităţi convenţionale sau cu închisoare de la 6 la 12 ani, iar persoana juridică se pedepseşte cu amendă în mărime de la 14000 la 18000 unităţi convenţionale cu privarea de dreptul de a exercita o anumită activitate, sau cu lichidarea persoanei juridice.”.</w:t>
      </w:r>
    </w:p>
    <w:p w:rsidR="00B036D6" w:rsidRPr="00606723" w:rsidRDefault="00B036D6" w:rsidP="00B036D6">
      <w:pPr>
        <w:spacing w:after="0" w:line="240" w:lineRule="auto"/>
        <w:jc w:val="both"/>
        <w:rPr>
          <w:rFonts w:ascii="Times New Roman" w:hAnsi="Times New Roman"/>
          <w:sz w:val="24"/>
          <w:szCs w:val="24"/>
          <w:lang w:val="ro-RO"/>
        </w:rPr>
      </w:pPr>
    </w:p>
    <w:p w:rsidR="00B036D6" w:rsidRPr="00606723" w:rsidRDefault="00B036D6" w:rsidP="00B036D6">
      <w:pPr>
        <w:numPr>
          <w:ilvl w:val="0"/>
          <w:numId w:val="1"/>
        </w:numPr>
        <w:tabs>
          <w:tab w:val="left" w:pos="1080"/>
        </w:tabs>
        <w:spacing w:after="0" w:line="240" w:lineRule="auto"/>
        <w:ind w:left="0" w:firstLine="720"/>
        <w:jc w:val="both"/>
        <w:rPr>
          <w:rFonts w:ascii="Times New Roman" w:hAnsi="Times New Roman"/>
          <w:sz w:val="24"/>
          <w:szCs w:val="24"/>
          <w:lang w:val="ro-RO"/>
        </w:rPr>
      </w:pPr>
      <w:r w:rsidRPr="00606723">
        <w:rPr>
          <w:rFonts w:ascii="Times New Roman" w:hAnsi="Times New Roman"/>
          <w:sz w:val="24"/>
          <w:szCs w:val="24"/>
          <w:lang w:val="ro-RO"/>
        </w:rPr>
        <w:t xml:space="preserve">La articolul 326: </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în sancţiunea alineatului (1) sintagma „de la 500 la 1500 unităţi convenţionale” se substituie cu sintagma „de la 2000 la 3000 unităţi convenţionale”, iar sintagma „de la 2000 la 4000 unităţi convenţionale” se substituie cu sintagma „de la 4000 la 6000 unităţi convenţionale”;</w:t>
      </w:r>
    </w:p>
    <w:p w:rsidR="00B036D6" w:rsidRDefault="00B036D6" w:rsidP="00B036D6">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în sancţiunea alineatului (1</w:t>
      </w:r>
      <w:r>
        <w:rPr>
          <w:rFonts w:ascii="Times New Roman" w:hAnsi="Times New Roman"/>
          <w:sz w:val="24"/>
          <w:szCs w:val="24"/>
          <w:vertAlign w:val="superscript"/>
          <w:lang w:val="ro-RO"/>
        </w:rPr>
        <w:t>1</w:t>
      </w:r>
      <w:r w:rsidRPr="00606723">
        <w:rPr>
          <w:rFonts w:ascii="Times New Roman" w:hAnsi="Times New Roman"/>
          <w:sz w:val="24"/>
          <w:szCs w:val="24"/>
          <w:lang w:val="ro-RO"/>
        </w:rPr>
        <w:t xml:space="preserve">) sintagma „de la 500 la 1500 unităţi convenţionale” se substituie cu sintagma „de la </w:t>
      </w:r>
      <w:r>
        <w:rPr>
          <w:rFonts w:ascii="Times New Roman" w:hAnsi="Times New Roman"/>
          <w:sz w:val="24"/>
          <w:szCs w:val="24"/>
          <w:lang w:val="ro-RO"/>
        </w:rPr>
        <w:t>2</w:t>
      </w:r>
      <w:r w:rsidRPr="00606723">
        <w:rPr>
          <w:rFonts w:ascii="Times New Roman" w:hAnsi="Times New Roman"/>
          <w:sz w:val="24"/>
          <w:szCs w:val="24"/>
          <w:lang w:val="ro-RO"/>
        </w:rPr>
        <w:t xml:space="preserve">000 la </w:t>
      </w:r>
      <w:r>
        <w:rPr>
          <w:rFonts w:ascii="Times New Roman" w:hAnsi="Times New Roman"/>
          <w:sz w:val="24"/>
          <w:szCs w:val="24"/>
          <w:lang w:val="ro-RO"/>
        </w:rPr>
        <w:t>3</w:t>
      </w:r>
      <w:r w:rsidRPr="00606723">
        <w:rPr>
          <w:rFonts w:ascii="Times New Roman" w:hAnsi="Times New Roman"/>
          <w:sz w:val="24"/>
          <w:szCs w:val="24"/>
          <w:lang w:val="ro-RO"/>
        </w:rPr>
        <w:t>000 unităţi convenţionale”, iar sintagma „de la 2000 la 4000 unităţi convenţionale” se substituie cu sintagma „de la 3000 la 5000 unităţi convenţionale”;</w:t>
      </w:r>
    </w:p>
    <w:p w:rsidR="00B036D6" w:rsidRPr="00606723" w:rsidRDefault="00B036D6" w:rsidP="00B036D6">
      <w:pPr>
        <w:spacing w:after="0" w:line="240" w:lineRule="auto"/>
        <w:jc w:val="both"/>
        <w:rPr>
          <w:rFonts w:ascii="Times New Roman" w:hAnsi="Times New Roman"/>
          <w:sz w:val="24"/>
          <w:szCs w:val="24"/>
          <w:lang w:val="ro-RO"/>
        </w:rPr>
      </w:pPr>
      <w:r>
        <w:rPr>
          <w:rFonts w:ascii="Times New Roman" w:hAnsi="Times New Roman"/>
          <w:sz w:val="24"/>
          <w:szCs w:val="24"/>
          <w:lang w:val="ro-RO"/>
        </w:rPr>
        <w:tab/>
        <w:t>în sancţiunea alineatului (2) sintagma „de la 1000 la 3000 unităţi convenţionale” se substituie cu sintagma „de la 3000 la 4000 unităţi convenţionale, iar sintagma „de la 3000 la 8000 unităţi convenţionale” se substituie cu sintagma „de la 5000 la 10000 unităţi convenţionale”;</w:t>
      </w:r>
    </w:p>
    <w:p w:rsidR="00B036D6" w:rsidRPr="00606723" w:rsidRDefault="00B036D6" w:rsidP="00B036D6">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sancţiunea alineatului (3) va avea următorul cuprins:</w:t>
      </w:r>
    </w:p>
    <w:p w:rsidR="00B036D6" w:rsidRPr="00606723" w:rsidRDefault="00B036D6" w:rsidP="00B036D6">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 xml:space="preserve">,,se pedepsesc cu amendă în mărime de la </w:t>
      </w:r>
      <w:r>
        <w:rPr>
          <w:rFonts w:ascii="Times New Roman" w:hAnsi="Times New Roman"/>
          <w:sz w:val="24"/>
          <w:szCs w:val="24"/>
          <w:lang w:val="ro-RO"/>
        </w:rPr>
        <w:t>4</w:t>
      </w:r>
      <w:r w:rsidRPr="00606723">
        <w:rPr>
          <w:rFonts w:ascii="Times New Roman" w:hAnsi="Times New Roman"/>
          <w:sz w:val="24"/>
          <w:szCs w:val="24"/>
          <w:lang w:val="ro-RO"/>
        </w:rPr>
        <w:t xml:space="preserve">000 la </w:t>
      </w:r>
      <w:r>
        <w:rPr>
          <w:rFonts w:ascii="Times New Roman" w:hAnsi="Times New Roman"/>
          <w:sz w:val="24"/>
          <w:szCs w:val="24"/>
          <w:lang w:val="ro-RO"/>
        </w:rPr>
        <w:t>6</w:t>
      </w:r>
      <w:r w:rsidRPr="00606723">
        <w:rPr>
          <w:rFonts w:ascii="Times New Roman" w:hAnsi="Times New Roman"/>
          <w:sz w:val="24"/>
          <w:szCs w:val="24"/>
          <w:lang w:val="ro-RO"/>
        </w:rPr>
        <w:t xml:space="preserve">000 unităţi convenţionale sau cu închisoare de la 3 la 7 ani, iar persoana juridică se pedepseşte cu amendă în mărime de la </w:t>
      </w:r>
      <w:r>
        <w:rPr>
          <w:rFonts w:ascii="Times New Roman" w:hAnsi="Times New Roman"/>
          <w:sz w:val="24"/>
          <w:szCs w:val="24"/>
          <w:lang w:val="ro-RO"/>
        </w:rPr>
        <w:t>7000 la 12</w:t>
      </w:r>
      <w:r w:rsidRPr="00606723">
        <w:rPr>
          <w:rFonts w:ascii="Times New Roman" w:hAnsi="Times New Roman"/>
          <w:sz w:val="24"/>
          <w:szCs w:val="24"/>
          <w:lang w:val="ro-RO"/>
        </w:rPr>
        <w:t>000 unităţi convenţionale, cu privarea de dreptul de a exercita o anumită activitate, sau cu lichidarea persoanei juridice.”.</w:t>
      </w:r>
    </w:p>
    <w:p w:rsidR="00B036D6" w:rsidRPr="00606723" w:rsidRDefault="00B036D6" w:rsidP="00B036D6">
      <w:pPr>
        <w:tabs>
          <w:tab w:val="left" w:pos="1080"/>
        </w:tabs>
        <w:spacing w:after="0" w:line="240" w:lineRule="auto"/>
        <w:jc w:val="both"/>
        <w:rPr>
          <w:rFonts w:ascii="Times New Roman" w:hAnsi="Times New Roman"/>
          <w:sz w:val="24"/>
          <w:szCs w:val="24"/>
          <w:lang w:val="ro-RO"/>
        </w:rPr>
      </w:pPr>
    </w:p>
    <w:p w:rsidR="00B036D6" w:rsidRPr="00606723" w:rsidRDefault="00B036D6" w:rsidP="00B036D6">
      <w:pPr>
        <w:numPr>
          <w:ilvl w:val="0"/>
          <w:numId w:val="1"/>
        </w:numPr>
        <w:tabs>
          <w:tab w:val="left" w:pos="1080"/>
        </w:tabs>
        <w:spacing w:after="0" w:line="240" w:lineRule="auto"/>
        <w:ind w:left="0" w:firstLine="720"/>
        <w:jc w:val="both"/>
        <w:rPr>
          <w:rFonts w:ascii="Times New Roman" w:hAnsi="Times New Roman"/>
          <w:sz w:val="24"/>
          <w:szCs w:val="24"/>
          <w:lang w:val="ro-RO"/>
        </w:rPr>
      </w:pPr>
      <w:r w:rsidRPr="00606723">
        <w:rPr>
          <w:rFonts w:ascii="Times New Roman" w:hAnsi="Times New Roman"/>
          <w:sz w:val="24"/>
          <w:szCs w:val="24"/>
          <w:lang w:val="ro-RO"/>
        </w:rPr>
        <w:t>La articolul 327:</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în sancţiunea alineatului (1) sintagma „de la 150 la 400 unităţi convenţionale” se substituie cu sintagma „de la 300 la 800 unităţi convenţionale”, iar sintagma „de pînă la 5 ani” se substituie cu sintagma „de la 2 pînă la 5 ani”;</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în sancţiunea alineatului (2) sintagma „de la 500 la 1000 unităţi convenţionale” se substituie cu sintagma „de la 1000 la 2000 unităţi convenţionale”, iar sintagma „de pînă la 5 ani” se substituie cu sintagma „de la 5 pînă la 10 ani”;</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în sancţiunea alineatului (3) sintagma „de pînă la 5 ani” se substituie cu sintagma „de la 10 la 15 ani”.</w:t>
      </w:r>
    </w:p>
    <w:p w:rsidR="00B036D6" w:rsidRPr="00606723" w:rsidRDefault="00B036D6" w:rsidP="00B036D6">
      <w:pPr>
        <w:spacing w:after="0" w:line="240" w:lineRule="auto"/>
        <w:ind w:firstLine="360"/>
        <w:jc w:val="both"/>
        <w:rPr>
          <w:rFonts w:ascii="Times New Roman" w:hAnsi="Times New Roman"/>
          <w:sz w:val="24"/>
          <w:szCs w:val="24"/>
          <w:lang w:val="ro-RO"/>
        </w:rPr>
      </w:pPr>
    </w:p>
    <w:p w:rsidR="00B036D6" w:rsidRPr="00606723" w:rsidRDefault="00B036D6" w:rsidP="00B036D6">
      <w:pPr>
        <w:numPr>
          <w:ilvl w:val="0"/>
          <w:numId w:val="1"/>
        </w:numPr>
        <w:tabs>
          <w:tab w:val="left" w:pos="1080"/>
        </w:tabs>
        <w:spacing w:after="0" w:line="240" w:lineRule="auto"/>
        <w:ind w:left="0" w:firstLine="720"/>
        <w:jc w:val="both"/>
        <w:rPr>
          <w:rFonts w:ascii="Times New Roman" w:hAnsi="Times New Roman"/>
          <w:sz w:val="24"/>
          <w:szCs w:val="24"/>
          <w:lang w:val="ro-RO"/>
        </w:rPr>
      </w:pPr>
      <w:r w:rsidRPr="00606723">
        <w:rPr>
          <w:rFonts w:ascii="Times New Roman" w:hAnsi="Times New Roman"/>
          <w:sz w:val="24"/>
          <w:szCs w:val="24"/>
          <w:lang w:val="ro-RO"/>
        </w:rPr>
        <w:t>La articolul 328:</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în sancţiunea alineatului (1) sintagma „de la 150 la 400 unităţi convenţionale” se substituie cu sintagma „de la 300 la 800 unităţi convenţionale”, iar sintagma „de pînă la 5 ani” se substituie cu sintagma „de la 2 pînă la 5 ani”;</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în sancţiunea alineatului (2) sintagma „de pînă la 5 ani” se substituie cu sintagma „de la 5 pînă la 10 ani”;</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în sancţiunea alineatului (3) sintagma „de pînă la 5 ani” se substituie cu sintagma „de la 10 la pînă la 15 ani”.</w:t>
      </w:r>
    </w:p>
    <w:p w:rsidR="00B036D6" w:rsidRPr="00606723" w:rsidRDefault="00B036D6" w:rsidP="00B036D6">
      <w:pPr>
        <w:spacing w:after="0" w:line="240" w:lineRule="auto"/>
        <w:ind w:firstLine="360"/>
        <w:jc w:val="both"/>
        <w:rPr>
          <w:rFonts w:ascii="Times New Roman" w:hAnsi="Times New Roman"/>
          <w:sz w:val="24"/>
          <w:szCs w:val="24"/>
          <w:lang w:val="ro-RO"/>
        </w:rPr>
      </w:pPr>
    </w:p>
    <w:p w:rsidR="00B036D6" w:rsidRPr="00606723" w:rsidRDefault="00B036D6" w:rsidP="00B036D6">
      <w:pPr>
        <w:numPr>
          <w:ilvl w:val="0"/>
          <w:numId w:val="1"/>
        </w:numPr>
        <w:tabs>
          <w:tab w:val="left" w:pos="1080"/>
        </w:tabs>
        <w:spacing w:after="0" w:line="240" w:lineRule="auto"/>
        <w:ind w:left="0" w:firstLine="720"/>
        <w:jc w:val="both"/>
        <w:rPr>
          <w:rFonts w:ascii="Times New Roman" w:hAnsi="Times New Roman"/>
          <w:sz w:val="24"/>
          <w:szCs w:val="24"/>
          <w:lang w:val="ro-RO"/>
        </w:rPr>
      </w:pPr>
      <w:r w:rsidRPr="00606723">
        <w:rPr>
          <w:rFonts w:ascii="Times New Roman" w:hAnsi="Times New Roman"/>
          <w:sz w:val="24"/>
          <w:szCs w:val="24"/>
          <w:lang w:val="ro-RO"/>
        </w:rPr>
        <w:t>La articolul 329:</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în sancţiunea alineatului (1) sintagma „de pînă la 5 ani” se substituie cu sintagma „de la 2 pînă la 5 ani”.</w:t>
      </w:r>
    </w:p>
    <w:p w:rsidR="00B036D6"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 xml:space="preserve">sancţiunea alineatului (2) </w:t>
      </w:r>
      <w:r>
        <w:rPr>
          <w:rFonts w:ascii="Times New Roman" w:hAnsi="Times New Roman"/>
          <w:sz w:val="24"/>
          <w:szCs w:val="24"/>
          <w:lang w:val="ro-RO"/>
        </w:rPr>
        <w:t>va avea următorul cuprins:</w:t>
      </w:r>
    </w:p>
    <w:p w:rsidR="00B036D6" w:rsidRPr="00606723" w:rsidRDefault="00B036D6" w:rsidP="00B036D6">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w:t>
      </w:r>
      <w:r w:rsidRPr="001A1A47">
        <w:rPr>
          <w:rFonts w:ascii="Times New Roman" w:hAnsi="Times New Roman"/>
          <w:sz w:val="24"/>
          <w:szCs w:val="24"/>
          <w:lang w:val="ro-RO"/>
        </w:rPr>
        <w:t xml:space="preserve">se pedepsesc </w:t>
      </w:r>
      <w:r>
        <w:rPr>
          <w:rFonts w:ascii="Times New Roman" w:hAnsi="Times New Roman"/>
          <w:sz w:val="24"/>
          <w:szCs w:val="24"/>
          <w:lang w:val="ro-RO"/>
        </w:rPr>
        <w:t xml:space="preserve">cu închisoare de la 2 la 6 ani </w:t>
      </w:r>
      <w:r w:rsidRPr="001A1A47">
        <w:rPr>
          <w:rFonts w:ascii="Times New Roman" w:hAnsi="Times New Roman"/>
          <w:sz w:val="24"/>
          <w:szCs w:val="24"/>
          <w:lang w:val="ro-RO"/>
        </w:rPr>
        <w:t>cu privarea de dreptul de a ocupa anumite funcţii sau de a exercita o anumită activitate pe un termen de la 5</w:t>
      </w:r>
      <w:r>
        <w:rPr>
          <w:rFonts w:ascii="Times New Roman" w:hAnsi="Times New Roman"/>
          <w:sz w:val="24"/>
          <w:szCs w:val="24"/>
          <w:lang w:val="ro-RO"/>
        </w:rPr>
        <w:t xml:space="preserve"> la 10</w:t>
      </w:r>
      <w:r w:rsidRPr="001A1A47">
        <w:rPr>
          <w:rFonts w:ascii="Times New Roman" w:hAnsi="Times New Roman"/>
          <w:sz w:val="24"/>
          <w:szCs w:val="24"/>
          <w:lang w:val="ro-RO"/>
        </w:rPr>
        <w:t xml:space="preserve"> ani</w:t>
      </w:r>
      <w:r w:rsidRPr="001A1A47">
        <w:rPr>
          <w:lang w:val="ro-RO"/>
        </w:rPr>
        <w:t>.</w:t>
      </w:r>
      <w:r>
        <w:rPr>
          <w:lang w:val="ro-RO"/>
        </w:rPr>
        <w:t xml:space="preserve">  </w:t>
      </w:r>
    </w:p>
    <w:p w:rsidR="00B036D6" w:rsidRPr="00606723" w:rsidRDefault="00B036D6" w:rsidP="00B036D6">
      <w:pPr>
        <w:spacing w:after="0" w:line="240" w:lineRule="auto"/>
        <w:ind w:firstLine="360"/>
        <w:jc w:val="both"/>
        <w:rPr>
          <w:rFonts w:ascii="Times New Roman" w:hAnsi="Times New Roman"/>
          <w:sz w:val="24"/>
          <w:szCs w:val="24"/>
          <w:lang w:val="ro-RO"/>
        </w:rPr>
      </w:pP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b/>
          <w:sz w:val="24"/>
          <w:szCs w:val="24"/>
          <w:lang w:val="ro-RO"/>
        </w:rPr>
        <w:t>1</w:t>
      </w:r>
      <w:r w:rsidR="0005257B">
        <w:rPr>
          <w:rFonts w:ascii="Times New Roman" w:hAnsi="Times New Roman"/>
          <w:b/>
          <w:sz w:val="24"/>
          <w:szCs w:val="24"/>
          <w:lang w:val="ro-RO"/>
        </w:rPr>
        <w:t>1</w:t>
      </w:r>
      <w:r w:rsidRPr="00606723">
        <w:rPr>
          <w:rFonts w:ascii="Times New Roman" w:hAnsi="Times New Roman"/>
          <w:b/>
          <w:sz w:val="24"/>
          <w:szCs w:val="24"/>
          <w:lang w:val="ro-RO"/>
        </w:rPr>
        <w:t>.</w:t>
      </w:r>
      <w:r w:rsidRPr="00606723">
        <w:rPr>
          <w:rFonts w:ascii="Times New Roman" w:hAnsi="Times New Roman"/>
          <w:sz w:val="24"/>
          <w:szCs w:val="24"/>
          <w:lang w:val="ro-RO"/>
        </w:rPr>
        <w:t xml:space="preserve"> Se completează cu articolul 330</w:t>
      </w:r>
      <w:r w:rsidRPr="00606723">
        <w:rPr>
          <w:rFonts w:ascii="Times New Roman" w:hAnsi="Times New Roman"/>
          <w:sz w:val="24"/>
          <w:szCs w:val="24"/>
          <w:vertAlign w:val="superscript"/>
          <w:lang w:val="ro-RO"/>
        </w:rPr>
        <w:t>2</w:t>
      </w:r>
      <w:r w:rsidRPr="00606723">
        <w:rPr>
          <w:rFonts w:ascii="Times New Roman" w:hAnsi="Times New Roman"/>
          <w:sz w:val="24"/>
          <w:szCs w:val="24"/>
          <w:lang w:val="ro-RO"/>
        </w:rPr>
        <w:t xml:space="preserve"> cu următorul cuprins:</w:t>
      </w:r>
    </w:p>
    <w:p w:rsidR="00B036D6" w:rsidRPr="003043BC" w:rsidRDefault="00B036D6" w:rsidP="00B036D6">
      <w:pPr>
        <w:spacing w:after="0" w:line="240" w:lineRule="auto"/>
        <w:ind w:firstLine="708"/>
        <w:jc w:val="both"/>
        <w:rPr>
          <w:rFonts w:ascii="Times New Roman" w:hAnsi="Times New Roman"/>
          <w:b/>
          <w:sz w:val="24"/>
          <w:szCs w:val="24"/>
          <w:lang w:val="ro-RO"/>
        </w:rPr>
      </w:pPr>
      <w:r w:rsidRPr="00606723">
        <w:rPr>
          <w:rFonts w:ascii="Times New Roman" w:hAnsi="Times New Roman"/>
          <w:b/>
          <w:sz w:val="24"/>
          <w:szCs w:val="24"/>
          <w:lang w:val="ro-RO"/>
        </w:rPr>
        <w:t>„Articolul 330</w:t>
      </w:r>
      <w:r w:rsidRPr="00606723">
        <w:rPr>
          <w:rFonts w:ascii="Times New Roman" w:hAnsi="Times New Roman"/>
          <w:b/>
          <w:sz w:val="24"/>
          <w:szCs w:val="24"/>
          <w:vertAlign w:val="superscript"/>
          <w:lang w:val="ro-RO"/>
        </w:rPr>
        <w:t>2</w:t>
      </w:r>
      <w:r w:rsidRPr="00606723">
        <w:rPr>
          <w:rFonts w:ascii="Times New Roman" w:hAnsi="Times New Roman"/>
          <w:b/>
          <w:sz w:val="24"/>
          <w:szCs w:val="24"/>
          <w:lang w:val="ro-RO"/>
        </w:rPr>
        <w:t>. Îmbogăţirea ilicită</w:t>
      </w:r>
    </w:p>
    <w:p w:rsidR="00B036D6" w:rsidRPr="00606723" w:rsidRDefault="00B036D6" w:rsidP="00B036D6">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 xml:space="preserve">(1) Fapta intenţionată a unei persoane publice care a dus la îmbogăţirea ilicită a acesteia, prin mărirea substanţială a patrimoniului care depăşeşte veniturile lui legale,  </w:t>
      </w:r>
    </w:p>
    <w:p w:rsidR="00B036D6" w:rsidRPr="00606723" w:rsidRDefault="00B036D6" w:rsidP="00B036D6">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w:t>
      </w:r>
      <w:r w:rsidRPr="00606723">
        <w:rPr>
          <w:rFonts w:ascii="Times New Roman" w:hAnsi="Times New Roman"/>
          <w:sz w:val="24"/>
          <w:szCs w:val="24"/>
          <w:lang w:val="ro-RO"/>
        </w:rPr>
        <w:t>se pedepseşte cu amendă în mărime  de la 6000 la 8000 unităţi convenţionale sau cu închisoare de la 3 la 7 ani, în ambele cazuri cu privarea de dreptul de a ocupa anumite funcţii sau de a exercita o anumită activitate pe un termen de la 10 la 15 ani.,</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(2) Aceleaşi acţiuni săvîrşite de o persoană cu funcţie de demnitate publică,</w:t>
      </w:r>
    </w:p>
    <w:p w:rsidR="00B036D6" w:rsidRPr="00606723" w:rsidRDefault="00B036D6" w:rsidP="00B036D6">
      <w:pPr>
        <w:spacing w:after="0" w:line="240" w:lineRule="auto"/>
        <w:ind w:firstLine="720"/>
        <w:jc w:val="both"/>
        <w:rPr>
          <w:rFonts w:ascii="Times New Roman" w:hAnsi="Times New Roman"/>
          <w:sz w:val="24"/>
          <w:szCs w:val="24"/>
          <w:lang w:val="ro-RO"/>
        </w:rPr>
      </w:pPr>
      <w:r w:rsidRPr="00606723">
        <w:rPr>
          <w:rFonts w:ascii="Times New Roman" w:hAnsi="Times New Roman"/>
          <w:sz w:val="24"/>
          <w:szCs w:val="24"/>
          <w:lang w:val="ro-RO"/>
        </w:rPr>
        <w:t xml:space="preserve">se pedepsesc cu amendă în mărime de la 8000 la 10000 unităţi convenţionale sau cu închisoare de la 7 la 15 ani, în ambele cazuri cu privarea de dreptul de a ocupa anumite funcţii sau de a exercita o anumită activitate pe un termen de la 10 la 15 ani. </w:t>
      </w:r>
    </w:p>
    <w:p w:rsidR="00B036D6" w:rsidRPr="00606723" w:rsidRDefault="00B036D6" w:rsidP="00B036D6">
      <w:pPr>
        <w:tabs>
          <w:tab w:val="left" w:pos="720"/>
        </w:tabs>
        <w:spacing w:after="0" w:line="240" w:lineRule="auto"/>
        <w:jc w:val="both"/>
        <w:rPr>
          <w:rFonts w:ascii="Times New Roman" w:hAnsi="Times New Roman"/>
          <w:sz w:val="24"/>
          <w:szCs w:val="24"/>
          <w:lang w:val="ro-RO"/>
        </w:rPr>
      </w:pPr>
      <w:r w:rsidRPr="00606723">
        <w:rPr>
          <w:rFonts w:ascii="Times New Roman" w:hAnsi="Times New Roman"/>
          <w:sz w:val="24"/>
          <w:szCs w:val="24"/>
          <w:lang w:val="ro-RO"/>
        </w:rPr>
        <w:tab/>
        <w:t>(</w:t>
      </w:r>
      <w:r w:rsidR="00020452">
        <w:rPr>
          <w:rFonts w:ascii="Times New Roman" w:hAnsi="Times New Roman"/>
          <w:sz w:val="24"/>
          <w:szCs w:val="24"/>
          <w:lang w:val="ro-RO"/>
        </w:rPr>
        <w:t>3</w:t>
      </w:r>
      <w:r w:rsidRPr="00606723">
        <w:rPr>
          <w:rFonts w:ascii="Times New Roman" w:hAnsi="Times New Roman"/>
          <w:sz w:val="24"/>
          <w:szCs w:val="24"/>
          <w:lang w:val="ro-RO"/>
        </w:rPr>
        <w:t>) Persoana, care a dobîndit patrimoniul indicat de la terţe persoane, este eliberată de răspunderea penală pentru îmbogăţire ilicită, dacă s-a autodenunţat neştiind că organele de urmărire penală sînt la curent cu infracţiunea pe care a săvîrşit-o şi a contribuit activ la stabilirea originii patrimoniului.”.</w:t>
      </w:r>
    </w:p>
    <w:p w:rsidR="00B036D6" w:rsidRPr="00606723" w:rsidRDefault="00B036D6" w:rsidP="00B036D6">
      <w:pPr>
        <w:tabs>
          <w:tab w:val="left" w:pos="720"/>
        </w:tabs>
        <w:spacing w:after="0" w:line="240" w:lineRule="auto"/>
        <w:jc w:val="both"/>
        <w:rPr>
          <w:rFonts w:ascii="Times New Roman" w:hAnsi="Times New Roman"/>
          <w:sz w:val="24"/>
          <w:szCs w:val="24"/>
          <w:lang w:val="ro-RO"/>
        </w:rPr>
      </w:pPr>
    </w:p>
    <w:p w:rsidR="00B036D6" w:rsidRPr="00606723" w:rsidRDefault="0005257B" w:rsidP="0005257B">
      <w:pPr>
        <w:spacing w:after="0" w:line="240" w:lineRule="auto"/>
        <w:ind w:left="900"/>
        <w:jc w:val="both"/>
        <w:rPr>
          <w:rFonts w:ascii="Times New Roman" w:hAnsi="Times New Roman"/>
          <w:sz w:val="24"/>
          <w:szCs w:val="24"/>
          <w:lang w:val="ro-RO"/>
        </w:rPr>
      </w:pPr>
      <w:r w:rsidRPr="0005257B">
        <w:rPr>
          <w:rFonts w:ascii="Times New Roman" w:hAnsi="Times New Roman"/>
          <w:b/>
          <w:sz w:val="24"/>
          <w:szCs w:val="24"/>
          <w:lang w:val="ro-RO"/>
        </w:rPr>
        <w:t>12.</w:t>
      </w:r>
      <w:r>
        <w:rPr>
          <w:rFonts w:ascii="Times New Roman" w:hAnsi="Times New Roman"/>
          <w:sz w:val="24"/>
          <w:szCs w:val="24"/>
          <w:lang w:val="ro-RO"/>
        </w:rPr>
        <w:t xml:space="preserve"> </w:t>
      </w:r>
      <w:r w:rsidR="00B036D6" w:rsidRPr="00606723">
        <w:rPr>
          <w:rFonts w:ascii="Times New Roman" w:hAnsi="Times New Roman"/>
          <w:sz w:val="24"/>
          <w:szCs w:val="24"/>
          <w:lang w:val="ro-RO"/>
        </w:rPr>
        <w:t>La  articolul 332:</w:t>
      </w:r>
    </w:p>
    <w:p w:rsidR="00B036D6" w:rsidRPr="00606723" w:rsidRDefault="00B036D6" w:rsidP="00B036D6">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în sancţiunea alineatului (1) sintagma „de pînă la 500 unităţi convenţionale” se substituie cu sintagma „de la 500 la 1000 unităţi convenţionale”, iar sintagma „de pînă la 5 ani” se substituie cu sintagma „de la 2 pînă la 5 ani”;</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în sancţiunea alineatului (2) sintagma „de la 500 la 1000 unităţi convenţionale” se substituie cu sintagma „de la 1000 la 2000 unităţi convenţionale”, iar sintagma „de la 2 pînă la 5 ani” se substituie cu sintagma „de la 5 pînă la 10 ani”.</w:t>
      </w:r>
    </w:p>
    <w:p w:rsidR="00B036D6" w:rsidRPr="00606723" w:rsidRDefault="00B036D6" w:rsidP="00B036D6">
      <w:pPr>
        <w:spacing w:after="0" w:line="240" w:lineRule="auto"/>
        <w:ind w:firstLine="360"/>
        <w:jc w:val="both"/>
        <w:rPr>
          <w:rFonts w:ascii="Times New Roman" w:hAnsi="Times New Roman"/>
          <w:sz w:val="24"/>
          <w:szCs w:val="24"/>
          <w:lang w:val="ro-RO"/>
        </w:rPr>
      </w:pPr>
    </w:p>
    <w:p w:rsidR="00B036D6" w:rsidRPr="00606723" w:rsidRDefault="00B036D6" w:rsidP="0005257B">
      <w:pPr>
        <w:numPr>
          <w:ilvl w:val="0"/>
          <w:numId w:val="19"/>
        </w:numPr>
        <w:spacing w:after="0" w:line="240" w:lineRule="auto"/>
        <w:jc w:val="both"/>
        <w:rPr>
          <w:rFonts w:ascii="Times New Roman" w:hAnsi="Times New Roman"/>
          <w:sz w:val="24"/>
          <w:szCs w:val="24"/>
          <w:lang w:val="ro-RO"/>
        </w:rPr>
      </w:pPr>
      <w:r w:rsidRPr="00606723">
        <w:rPr>
          <w:rFonts w:ascii="Times New Roman" w:hAnsi="Times New Roman"/>
          <w:sz w:val="24"/>
          <w:szCs w:val="24"/>
          <w:lang w:val="ro-RO"/>
        </w:rPr>
        <w:t>La articolul 333:</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 xml:space="preserve">în sancţiunea alineatului (1) sintagma „de la 500 la 1500 unităţi convenţionale” se substituie cu sintagma „de la </w:t>
      </w:r>
      <w:r>
        <w:rPr>
          <w:rFonts w:ascii="Times New Roman" w:hAnsi="Times New Roman"/>
          <w:sz w:val="24"/>
          <w:szCs w:val="24"/>
          <w:lang w:val="ro-RO"/>
        </w:rPr>
        <w:t>1</w:t>
      </w:r>
      <w:r w:rsidRPr="00606723">
        <w:rPr>
          <w:rFonts w:ascii="Times New Roman" w:hAnsi="Times New Roman"/>
          <w:sz w:val="24"/>
          <w:szCs w:val="24"/>
          <w:lang w:val="ro-RO"/>
        </w:rPr>
        <w:t xml:space="preserve">000 la </w:t>
      </w:r>
      <w:r>
        <w:rPr>
          <w:rFonts w:ascii="Times New Roman" w:hAnsi="Times New Roman"/>
          <w:sz w:val="24"/>
          <w:szCs w:val="24"/>
          <w:lang w:val="ro-RO"/>
        </w:rPr>
        <w:t>3</w:t>
      </w:r>
      <w:r w:rsidRPr="00606723">
        <w:rPr>
          <w:rFonts w:ascii="Times New Roman" w:hAnsi="Times New Roman"/>
          <w:sz w:val="24"/>
          <w:szCs w:val="24"/>
          <w:lang w:val="ro-RO"/>
        </w:rPr>
        <w:t>000 unităţi convenţionale”, iar sintagma „de pînă la 5 ani” se substituie cu sintagma „de la 2 pînă la 5 ani”;</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 xml:space="preserve">în sancţiunea alineatului (2) sintagma „de la 1000 la 3000 unităţi convenţionale” se substituie cu sintagma „de la </w:t>
      </w:r>
      <w:r>
        <w:rPr>
          <w:rFonts w:ascii="Times New Roman" w:hAnsi="Times New Roman"/>
          <w:sz w:val="24"/>
          <w:szCs w:val="24"/>
          <w:lang w:val="ro-RO"/>
        </w:rPr>
        <w:t>2</w:t>
      </w:r>
      <w:r w:rsidRPr="00606723">
        <w:rPr>
          <w:rFonts w:ascii="Times New Roman" w:hAnsi="Times New Roman"/>
          <w:sz w:val="24"/>
          <w:szCs w:val="24"/>
          <w:lang w:val="ro-RO"/>
        </w:rPr>
        <w:t xml:space="preserve">000 la </w:t>
      </w:r>
      <w:r>
        <w:rPr>
          <w:rFonts w:ascii="Times New Roman" w:hAnsi="Times New Roman"/>
          <w:sz w:val="24"/>
          <w:szCs w:val="24"/>
          <w:lang w:val="ro-RO"/>
        </w:rPr>
        <w:t>4</w:t>
      </w:r>
      <w:r w:rsidRPr="00606723">
        <w:rPr>
          <w:rFonts w:ascii="Times New Roman" w:hAnsi="Times New Roman"/>
          <w:sz w:val="24"/>
          <w:szCs w:val="24"/>
          <w:lang w:val="ro-RO"/>
        </w:rPr>
        <w:t>000 unităţi convenţionale”, iar sintagma „de la 2 pînă la 5 ani” se substituie cu sintagma „de la 5 pînă la 7 ani”.</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sancţiunea alineatului (3) va avea următorul cuprins:</w:t>
      </w:r>
    </w:p>
    <w:p w:rsidR="00B036D6"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 xml:space="preserve">„se pedepsesc cu amendă în mărime de la </w:t>
      </w:r>
      <w:r>
        <w:rPr>
          <w:rFonts w:ascii="Times New Roman" w:hAnsi="Times New Roman"/>
          <w:sz w:val="24"/>
          <w:szCs w:val="24"/>
          <w:lang w:val="ro-RO"/>
        </w:rPr>
        <w:t>4</w:t>
      </w:r>
      <w:r w:rsidRPr="00606723">
        <w:rPr>
          <w:rFonts w:ascii="Times New Roman" w:hAnsi="Times New Roman"/>
          <w:sz w:val="24"/>
          <w:szCs w:val="24"/>
          <w:lang w:val="ro-RO"/>
        </w:rPr>
        <w:t xml:space="preserve">000 la </w:t>
      </w:r>
      <w:r>
        <w:rPr>
          <w:rFonts w:ascii="Times New Roman" w:hAnsi="Times New Roman"/>
          <w:sz w:val="24"/>
          <w:szCs w:val="24"/>
          <w:lang w:val="ro-RO"/>
        </w:rPr>
        <w:t>6</w:t>
      </w:r>
      <w:r w:rsidRPr="00606723">
        <w:rPr>
          <w:rFonts w:ascii="Times New Roman" w:hAnsi="Times New Roman"/>
          <w:sz w:val="24"/>
          <w:szCs w:val="24"/>
          <w:lang w:val="ro-RO"/>
        </w:rPr>
        <w:t xml:space="preserve">000 unităţi convenţionale sau cu închisoare de la 3 la 10 ani, în ambele cazuri cu privarea de dreptul de a ocupa anumite funcţii sau de a exercita o anumită activitate pe un termen de la </w:t>
      </w:r>
      <w:r>
        <w:rPr>
          <w:rFonts w:ascii="Times New Roman" w:hAnsi="Times New Roman"/>
          <w:sz w:val="24"/>
          <w:szCs w:val="24"/>
          <w:lang w:val="ro-RO"/>
        </w:rPr>
        <w:t>5</w:t>
      </w:r>
      <w:r w:rsidRPr="00606723">
        <w:rPr>
          <w:rFonts w:ascii="Times New Roman" w:hAnsi="Times New Roman"/>
          <w:sz w:val="24"/>
          <w:szCs w:val="24"/>
          <w:lang w:val="ro-RO"/>
        </w:rPr>
        <w:t xml:space="preserve"> la 7 ani”</w:t>
      </w:r>
      <w:r>
        <w:rPr>
          <w:rFonts w:ascii="Times New Roman" w:hAnsi="Times New Roman"/>
          <w:sz w:val="24"/>
          <w:szCs w:val="24"/>
          <w:lang w:val="ro-RO"/>
        </w:rPr>
        <w:t>;</w:t>
      </w:r>
    </w:p>
    <w:p w:rsidR="00B036D6" w:rsidRDefault="00B036D6" w:rsidP="00B036D6">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      se completează cu alineatul (4) cu următorul cuprins:</w:t>
      </w:r>
    </w:p>
    <w:p w:rsidR="00B036D6" w:rsidRPr="00606723" w:rsidRDefault="00B036D6" w:rsidP="00B036D6">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„(4) Acţiunile prevăzute la alin. (1), săvîrşite în proporţii care nu depăşesc 100</w:t>
      </w:r>
      <w:r>
        <w:rPr>
          <w:rFonts w:ascii="Times New Roman" w:hAnsi="Times New Roman"/>
          <w:sz w:val="24"/>
          <w:szCs w:val="24"/>
          <w:lang w:val="ro-RO"/>
        </w:rPr>
        <w:t xml:space="preserve"> unităţi convenţionale,</w:t>
      </w:r>
    </w:p>
    <w:p w:rsidR="00B036D6" w:rsidRPr="00606723" w:rsidRDefault="00B036D6" w:rsidP="00B036D6">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 xml:space="preserve">se pedepsesc cu amendă în mărime de la </w:t>
      </w:r>
      <w:r>
        <w:rPr>
          <w:rFonts w:ascii="Times New Roman" w:hAnsi="Times New Roman"/>
          <w:sz w:val="24"/>
          <w:szCs w:val="24"/>
          <w:lang w:val="ro-RO"/>
        </w:rPr>
        <w:t>5</w:t>
      </w:r>
      <w:r w:rsidRPr="00606723">
        <w:rPr>
          <w:rFonts w:ascii="Times New Roman" w:hAnsi="Times New Roman"/>
          <w:sz w:val="24"/>
          <w:szCs w:val="24"/>
          <w:lang w:val="ro-RO"/>
        </w:rPr>
        <w:t xml:space="preserve">00 pînă la </w:t>
      </w:r>
      <w:r>
        <w:rPr>
          <w:rFonts w:ascii="Times New Roman" w:hAnsi="Times New Roman"/>
          <w:sz w:val="24"/>
          <w:szCs w:val="24"/>
          <w:lang w:val="ro-RO"/>
        </w:rPr>
        <w:t>15</w:t>
      </w:r>
      <w:r w:rsidRPr="00606723">
        <w:rPr>
          <w:rFonts w:ascii="Times New Roman" w:hAnsi="Times New Roman"/>
          <w:sz w:val="24"/>
          <w:szCs w:val="24"/>
          <w:lang w:val="ro-RO"/>
        </w:rPr>
        <w:t xml:space="preserve">00 unităţi convenţionale cu privarea de dreptul de a ocupa anumite funcţii sau de a exercita o anumită activitate pe un termen de pînă la </w:t>
      </w:r>
      <w:r>
        <w:rPr>
          <w:rFonts w:ascii="Times New Roman" w:hAnsi="Times New Roman"/>
          <w:sz w:val="24"/>
          <w:szCs w:val="24"/>
          <w:lang w:val="ro-RO"/>
        </w:rPr>
        <w:t>3</w:t>
      </w:r>
      <w:r w:rsidRPr="00606723">
        <w:rPr>
          <w:rFonts w:ascii="Times New Roman" w:hAnsi="Times New Roman"/>
          <w:sz w:val="24"/>
          <w:szCs w:val="24"/>
          <w:lang w:val="ro-RO"/>
        </w:rPr>
        <w:t xml:space="preserve"> ani”.</w:t>
      </w:r>
    </w:p>
    <w:p w:rsidR="00B036D6" w:rsidRPr="00606723" w:rsidRDefault="00B036D6" w:rsidP="00B036D6">
      <w:pPr>
        <w:spacing w:after="0" w:line="240" w:lineRule="auto"/>
        <w:jc w:val="both"/>
        <w:rPr>
          <w:rFonts w:ascii="Times New Roman" w:hAnsi="Times New Roman"/>
          <w:sz w:val="24"/>
          <w:szCs w:val="24"/>
          <w:lang w:val="ro-RO"/>
        </w:rPr>
      </w:pPr>
    </w:p>
    <w:p w:rsidR="00B036D6" w:rsidRPr="00606723" w:rsidRDefault="0005257B" w:rsidP="0005257B">
      <w:pPr>
        <w:spacing w:after="0" w:line="240" w:lineRule="auto"/>
        <w:ind w:left="900"/>
        <w:jc w:val="both"/>
        <w:rPr>
          <w:rFonts w:ascii="Times New Roman" w:hAnsi="Times New Roman"/>
          <w:sz w:val="24"/>
          <w:szCs w:val="24"/>
          <w:lang w:val="ro-RO"/>
        </w:rPr>
      </w:pPr>
      <w:r w:rsidRPr="0005257B">
        <w:rPr>
          <w:rFonts w:ascii="Times New Roman" w:hAnsi="Times New Roman"/>
          <w:b/>
          <w:sz w:val="24"/>
          <w:szCs w:val="24"/>
          <w:lang w:val="ro-RO"/>
        </w:rPr>
        <w:t>14</w:t>
      </w:r>
      <w:r>
        <w:rPr>
          <w:rFonts w:ascii="Times New Roman" w:hAnsi="Times New Roman"/>
          <w:sz w:val="24"/>
          <w:szCs w:val="24"/>
          <w:lang w:val="ro-RO"/>
        </w:rPr>
        <w:t>.</w:t>
      </w:r>
      <w:r w:rsidR="00B036D6" w:rsidRPr="00606723">
        <w:rPr>
          <w:rFonts w:ascii="Times New Roman" w:hAnsi="Times New Roman"/>
          <w:sz w:val="24"/>
          <w:szCs w:val="24"/>
          <w:lang w:val="ro-RO"/>
        </w:rPr>
        <w:t xml:space="preserve"> La articolul 334:</w:t>
      </w:r>
    </w:p>
    <w:p w:rsidR="00B036D6" w:rsidRPr="00606723" w:rsidRDefault="00B036D6" w:rsidP="00B036D6">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 xml:space="preserve">în sancţiunea alineatului (1) sintagma „de la 500 la 1000 unităţi convenţionale” se substituie cu sintagma „de la </w:t>
      </w:r>
      <w:r>
        <w:rPr>
          <w:rFonts w:ascii="Times New Roman" w:hAnsi="Times New Roman"/>
          <w:sz w:val="24"/>
          <w:szCs w:val="24"/>
          <w:lang w:val="ro-RO"/>
        </w:rPr>
        <w:t>1</w:t>
      </w:r>
      <w:r w:rsidRPr="00606723">
        <w:rPr>
          <w:rFonts w:ascii="Times New Roman" w:hAnsi="Times New Roman"/>
          <w:sz w:val="24"/>
          <w:szCs w:val="24"/>
          <w:lang w:val="ro-RO"/>
        </w:rPr>
        <w:t xml:space="preserve">000 la </w:t>
      </w:r>
      <w:r>
        <w:rPr>
          <w:rFonts w:ascii="Times New Roman" w:hAnsi="Times New Roman"/>
          <w:sz w:val="24"/>
          <w:szCs w:val="24"/>
          <w:lang w:val="ro-RO"/>
        </w:rPr>
        <w:t>2</w:t>
      </w:r>
      <w:r w:rsidRPr="00606723">
        <w:rPr>
          <w:rFonts w:ascii="Times New Roman" w:hAnsi="Times New Roman"/>
          <w:sz w:val="24"/>
          <w:szCs w:val="24"/>
          <w:lang w:val="ro-RO"/>
        </w:rPr>
        <w:t xml:space="preserve">000 unităţi convenţionale”, iar sintagma „de la 1000 la 2500 unităţi convenţionale” se substituie cu sintagma de „de la </w:t>
      </w:r>
      <w:r>
        <w:rPr>
          <w:rFonts w:ascii="Times New Roman" w:hAnsi="Times New Roman"/>
          <w:sz w:val="24"/>
          <w:szCs w:val="24"/>
          <w:lang w:val="ro-RO"/>
        </w:rPr>
        <w:t>4</w:t>
      </w:r>
      <w:r w:rsidRPr="00606723">
        <w:rPr>
          <w:rFonts w:ascii="Times New Roman" w:hAnsi="Times New Roman"/>
          <w:sz w:val="24"/>
          <w:szCs w:val="24"/>
          <w:lang w:val="ro-RO"/>
        </w:rPr>
        <w:t xml:space="preserve">000 la </w:t>
      </w:r>
      <w:r>
        <w:rPr>
          <w:rFonts w:ascii="Times New Roman" w:hAnsi="Times New Roman"/>
          <w:sz w:val="24"/>
          <w:szCs w:val="24"/>
          <w:lang w:val="ro-RO"/>
        </w:rPr>
        <w:t>8</w:t>
      </w:r>
      <w:r w:rsidRPr="00606723">
        <w:rPr>
          <w:rFonts w:ascii="Times New Roman" w:hAnsi="Times New Roman"/>
          <w:sz w:val="24"/>
          <w:szCs w:val="24"/>
          <w:lang w:val="ro-RO"/>
        </w:rPr>
        <w:t>000 unităţi convenţionale”</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 xml:space="preserve">în sancţiunea alineatului (2) sintagma „de la 1000 la 2000 unităţi convenţionale” se substituie cu sintagma „de la </w:t>
      </w:r>
      <w:r>
        <w:rPr>
          <w:rFonts w:ascii="Times New Roman" w:hAnsi="Times New Roman"/>
          <w:sz w:val="24"/>
          <w:szCs w:val="24"/>
          <w:lang w:val="ro-RO"/>
        </w:rPr>
        <w:t>2</w:t>
      </w:r>
      <w:r w:rsidRPr="00606723">
        <w:rPr>
          <w:rFonts w:ascii="Times New Roman" w:hAnsi="Times New Roman"/>
          <w:sz w:val="24"/>
          <w:szCs w:val="24"/>
          <w:lang w:val="ro-RO"/>
        </w:rPr>
        <w:t xml:space="preserve">000 la </w:t>
      </w:r>
      <w:r>
        <w:rPr>
          <w:rFonts w:ascii="Times New Roman" w:hAnsi="Times New Roman"/>
          <w:sz w:val="24"/>
          <w:szCs w:val="24"/>
          <w:lang w:val="ro-RO"/>
        </w:rPr>
        <w:t>4</w:t>
      </w:r>
      <w:r w:rsidRPr="00606723">
        <w:rPr>
          <w:rFonts w:ascii="Times New Roman" w:hAnsi="Times New Roman"/>
          <w:sz w:val="24"/>
          <w:szCs w:val="24"/>
          <w:lang w:val="ro-RO"/>
        </w:rPr>
        <w:t xml:space="preserve">000 unităţi convenţionale”, iar sintagma „de la 2000 la 4000 unităţi convenţionale” se substituie cu sintagma de „de la </w:t>
      </w:r>
      <w:r>
        <w:rPr>
          <w:rFonts w:ascii="Times New Roman" w:hAnsi="Times New Roman"/>
          <w:sz w:val="24"/>
          <w:szCs w:val="24"/>
          <w:lang w:val="ro-RO"/>
        </w:rPr>
        <w:t>8</w:t>
      </w:r>
      <w:r w:rsidRPr="00606723">
        <w:rPr>
          <w:rFonts w:ascii="Times New Roman" w:hAnsi="Times New Roman"/>
          <w:sz w:val="24"/>
          <w:szCs w:val="24"/>
          <w:lang w:val="ro-RO"/>
        </w:rPr>
        <w:t>000 la 1</w:t>
      </w:r>
      <w:r>
        <w:rPr>
          <w:rFonts w:ascii="Times New Roman" w:hAnsi="Times New Roman"/>
          <w:sz w:val="24"/>
          <w:szCs w:val="24"/>
          <w:lang w:val="ro-RO"/>
        </w:rPr>
        <w:t>2</w:t>
      </w:r>
      <w:r w:rsidRPr="00606723">
        <w:rPr>
          <w:rFonts w:ascii="Times New Roman" w:hAnsi="Times New Roman"/>
          <w:sz w:val="24"/>
          <w:szCs w:val="24"/>
          <w:lang w:val="ro-RO"/>
        </w:rPr>
        <w:t>000 unităţi convenţionale”;</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sancţiunea alineatului (3) va avea următorul cuprins:</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 xml:space="preserve">„se pedepsesc cu amendă în mărime de la 6000 la </w:t>
      </w:r>
      <w:r>
        <w:rPr>
          <w:rFonts w:ascii="Times New Roman" w:hAnsi="Times New Roman"/>
          <w:sz w:val="24"/>
          <w:szCs w:val="24"/>
          <w:lang w:val="ro-RO"/>
        </w:rPr>
        <w:t>8</w:t>
      </w:r>
      <w:r w:rsidRPr="00606723">
        <w:rPr>
          <w:rFonts w:ascii="Times New Roman" w:hAnsi="Times New Roman"/>
          <w:sz w:val="24"/>
          <w:szCs w:val="24"/>
          <w:lang w:val="ro-RO"/>
        </w:rPr>
        <w:t>000 unităţi convenţionale sau cu închisoare de la 3 la 7 ani, iar persoana juridică se pedepseşte cu amendă în mărime de la 1</w:t>
      </w:r>
      <w:r>
        <w:rPr>
          <w:rFonts w:ascii="Times New Roman" w:hAnsi="Times New Roman"/>
          <w:sz w:val="24"/>
          <w:szCs w:val="24"/>
          <w:lang w:val="ro-RO"/>
        </w:rPr>
        <w:t>2</w:t>
      </w:r>
      <w:r w:rsidRPr="00606723">
        <w:rPr>
          <w:rFonts w:ascii="Times New Roman" w:hAnsi="Times New Roman"/>
          <w:sz w:val="24"/>
          <w:szCs w:val="24"/>
          <w:lang w:val="ro-RO"/>
        </w:rPr>
        <w:t>000 la 1</w:t>
      </w:r>
      <w:r>
        <w:rPr>
          <w:rFonts w:ascii="Times New Roman" w:hAnsi="Times New Roman"/>
          <w:sz w:val="24"/>
          <w:szCs w:val="24"/>
          <w:lang w:val="ro-RO"/>
        </w:rPr>
        <w:t>4</w:t>
      </w:r>
      <w:r w:rsidRPr="00606723">
        <w:rPr>
          <w:rFonts w:ascii="Times New Roman" w:hAnsi="Times New Roman"/>
          <w:sz w:val="24"/>
          <w:szCs w:val="24"/>
          <w:lang w:val="ro-RO"/>
        </w:rPr>
        <w:t>000 unităţi convenţionale, cu privarea de dreptul de a exercita o anumită activitate, sau cu lichidarea persoanei juridice”.</w:t>
      </w:r>
    </w:p>
    <w:p w:rsidR="00B036D6" w:rsidRPr="00606723" w:rsidRDefault="00B036D6" w:rsidP="00B036D6">
      <w:pPr>
        <w:tabs>
          <w:tab w:val="left" w:pos="1080"/>
        </w:tabs>
        <w:spacing w:after="0" w:line="240" w:lineRule="auto"/>
        <w:jc w:val="both"/>
        <w:rPr>
          <w:rFonts w:ascii="Times New Roman" w:hAnsi="Times New Roman"/>
          <w:sz w:val="24"/>
          <w:szCs w:val="24"/>
          <w:lang w:val="ro-RO"/>
        </w:rPr>
      </w:pPr>
    </w:p>
    <w:p w:rsidR="00B036D6" w:rsidRPr="00606723" w:rsidRDefault="0005257B" w:rsidP="0005257B">
      <w:pPr>
        <w:spacing w:after="0" w:line="240" w:lineRule="auto"/>
        <w:ind w:left="720"/>
        <w:jc w:val="both"/>
        <w:rPr>
          <w:rFonts w:ascii="Times New Roman" w:hAnsi="Times New Roman"/>
          <w:sz w:val="24"/>
          <w:szCs w:val="24"/>
          <w:lang w:val="ro-RO"/>
        </w:rPr>
      </w:pPr>
      <w:r w:rsidRPr="0005257B">
        <w:rPr>
          <w:rFonts w:ascii="Times New Roman" w:hAnsi="Times New Roman"/>
          <w:b/>
          <w:sz w:val="24"/>
          <w:szCs w:val="24"/>
          <w:lang w:val="ro-RO"/>
        </w:rPr>
        <w:t>15</w:t>
      </w:r>
      <w:r>
        <w:rPr>
          <w:rFonts w:ascii="Times New Roman" w:hAnsi="Times New Roman"/>
          <w:sz w:val="24"/>
          <w:szCs w:val="24"/>
          <w:lang w:val="ro-RO"/>
        </w:rPr>
        <w:t xml:space="preserve">. </w:t>
      </w:r>
      <w:r w:rsidR="00B036D6" w:rsidRPr="00606723">
        <w:rPr>
          <w:rFonts w:ascii="Times New Roman" w:hAnsi="Times New Roman"/>
          <w:sz w:val="24"/>
          <w:szCs w:val="24"/>
          <w:lang w:val="ro-RO"/>
        </w:rPr>
        <w:t>La articolul 335:</w:t>
      </w:r>
    </w:p>
    <w:p w:rsidR="00B036D6" w:rsidRPr="00606723" w:rsidRDefault="00B036D6" w:rsidP="00B036D6">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în sancţiunea alineatului (1) sintagma „de la 150 la 400 unităţi convenţionale” se substituie cu sintagma „de la 300 la 800 unităţi convenţionale”;</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se completează cu alineatul (2</w:t>
      </w:r>
      <w:r w:rsidRPr="00606723">
        <w:rPr>
          <w:rFonts w:ascii="Times New Roman" w:hAnsi="Times New Roman"/>
          <w:sz w:val="24"/>
          <w:szCs w:val="24"/>
          <w:vertAlign w:val="superscript"/>
          <w:lang w:val="ro-RO"/>
        </w:rPr>
        <w:t>1</w:t>
      </w:r>
      <w:r w:rsidRPr="00606723">
        <w:rPr>
          <w:rFonts w:ascii="Times New Roman" w:hAnsi="Times New Roman"/>
          <w:sz w:val="24"/>
          <w:szCs w:val="24"/>
          <w:lang w:val="ro-RO"/>
        </w:rPr>
        <w:t>) cu următorul cuprins:</w:t>
      </w:r>
    </w:p>
    <w:p w:rsidR="00B036D6" w:rsidRPr="00606723" w:rsidRDefault="00B036D6" w:rsidP="00B036D6">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606723">
        <w:rPr>
          <w:rFonts w:ascii="Times New Roman" w:hAnsi="Times New Roman"/>
          <w:sz w:val="24"/>
          <w:szCs w:val="24"/>
          <w:lang w:val="ro-RO"/>
        </w:rPr>
        <w:t>„(2</w:t>
      </w:r>
      <w:r w:rsidRPr="00606723">
        <w:rPr>
          <w:rFonts w:ascii="Times New Roman" w:hAnsi="Times New Roman"/>
          <w:sz w:val="24"/>
          <w:szCs w:val="24"/>
          <w:vertAlign w:val="superscript"/>
          <w:lang w:val="ro-RO"/>
        </w:rPr>
        <w:t>1</w:t>
      </w:r>
      <w:r w:rsidRPr="00606723">
        <w:rPr>
          <w:rFonts w:ascii="Times New Roman" w:hAnsi="Times New Roman"/>
          <w:sz w:val="24"/>
          <w:szCs w:val="24"/>
          <w:lang w:val="ro-RO"/>
        </w:rPr>
        <w:t>) Acţiunile prevăzute la alin. (1) soldate cu urmări grave,</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se pedepsesc cu amendă în mărime de la 1000 la 2000 unităţi convenţionale sau cu închisoare de la 2 la 6 ani, în ambele cazuri cu privarea de dreptul de a ocupa anumite funcţii sau de a exercita o anumită activitate pe un termen de la</w:t>
      </w:r>
      <w:r>
        <w:rPr>
          <w:rFonts w:ascii="Times New Roman" w:hAnsi="Times New Roman"/>
          <w:sz w:val="24"/>
          <w:szCs w:val="24"/>
          <w:lang w:val="ro-RO"/>
        </w:rPr>
        <w:t xml:space="preserve"> 2 </w:t>
      </w:r>
      <w:r w:rsidRPr="00606723">
        <w:rPr>
          <w:rFonts w:ascii="Times New Roman" w:hAnsi="Times New Roman"/>
          <w:sz w:val="24"/>
          <w:szCs w:val="24"/>
          <w:lang w:val="ro-RO"/>
        </w:rPr>
        <w:t xml:space="preserve">pînă la </w:t>
      </w:r>
      <w:r>
        <w:rPr>
          <w:rFonts w:ascii="Times New Roman" w:hAnsi="Times New Roman"/>
          <w:sz w:val="24"/>
          <w:szCs w:val="24"/>
          <w:lang w:val="ro-RO"/>
        </w:rPr>
        <w:t>5</w:t>
      </w:r>
      <w:r w:rsidRPr="00606723">
        <w:rPr>
          <w:rFonts w:ascii="Times New Roman" w:hAnsi="Times New Roman"/>
          <w:sz w:val="24"/>
          <w:szCs w:val="24"/>
          <w:lang w:val="ro-RO"/>
        </w:rPr>
        <w:t xml:space="preserve"> ani.”.</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alineatul (3) va avea următorul cuprins:</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 xml:space="preserve">„(3) </w:t>
      </w:r>
      <w:r>
        <w:rPr>
          <w:rFonts w:ascii="Times New Roman" w:hAnsi="Times New Roman"/>
          <w:sz w:val="24"/>
          <w:szCs w:val="24"/>
          <w:lang w:val="ro-RO"/>
        </w:rPr>
        <w:t>Abuzul de serviciu</w:t>
      </w:r>
      <w:r w:rsidRPr="00492846">
        <w:rPr>
          <w:rFonts w:ascii="Times New Roman" w:hAnsi="Times New Roman"/>
          <w:sz w:val="24"/>
          <w:szCs w:val="24"/>
          <w:lang w:val="ro-RO"/>
        </w:rPr>
        <w:t xml:space="preserve"> </w:t>
      </w:r>
      <w:r w:rsidRPr="00B036D6">
        <w:rPr>
          <w:rFonts w:ascii="Times New Roman" w:hAnsi="Times New Roman"/>
          <w:sz w:val="24"/>
          <w:szCs w:val="24"/>
          <w:lang w:val="ro-RO"/>
        </w:rPr>
        <w:t>săvîrşit</w:t>
      </w:r>
      <w:r w:rsidRPr="00B036D6">
        <w:rPr>
          <w:lang w:val="ro-RO"/>
        </w:rPr>
        <w:t xml:space="preserve"> </w:t>
      </w:r>
      <w:r w:rsidRPr="00606723">
        <w:rPr>
          <w:rFonts w:ascii="Times New Roman" w:hAnsi="Times New Roman"/>
          <w:sz w:val="24"/>
          <w:szCs w:val="24"/>
          <w:lang w:val="ro-RO"/>
        </w:rPr>
        <w:t>în interesul unui grup criminal organizat sau al unei organizaţii criminale,</w:t>
      </w:r>
    </w:p>
    <w:p w:rsidR="00B036D6" w:rsidRPr="00606723" w:rsidRDefault="00B036D6" w:rsidP="00B036D6">
      <w:pPr>
        <w:spacing w:after="0" w:line="240" w:lineRule="auto"/>
        <w:ind w:firstLine="708"/>
        <w:jc w:val="both"/>
        <w:rPr>
          <w:rFonts w:ascii="Times New Roman" w:hAnsi="Times New Roman"/>
          <w:sz w:val="24"/>
          <w:szCs w:val="24"/>
          <w:lang w:val="ro-RO"/>
        </w:rPr>
      </w:pPr>
      <w:r w:rsidRPr="00606723">
        <w:rPr>
          <w:rFonts w:ascii="Times New Roman" w:hAnsi="Times New Roman"/>
          <w:sz w:val="24"/>
          <w:szCs w:val="24"/>
          <w:lang w:val="ro-RO"/>
        </w:rPr>
        <w:t>se pedepseşte cu închisoare de la 3 la 7 ani cu privarea de dreptul de a ocupa anumite funcţii sau de a exercita o anumită activitate pe un termen de la 10 la 15 ani.”.</w:t>
      </w:r>
    </w:p>
    <w:p w:rsidR="006D7837" w:rsidRPr="00606723" w:rsidRDefault="006D7837" w:rsidP="0022484E">
      <w:pPr>
        <w:spacing w:after="0" w:line="240" w:lineRule="auto"/>
        <w:jc w:val="both"/>
        <w:rPr>
          <w:rFonts w:ascii="Times New Roman" w:hAnsi="Times New Roman"/>
          <w:sz w:val="24"/>
          <w:szCs w:val="24"/>
          <w:lang w:val="ro-RO"/>
        </w:rPr>
      </w:pPr>
    </w:p>
    <w:p w:rsidR="00C44BF0" w:rsidRDefault="00C44BF0" w:rsidP="00C44BF0">
      <w:pPr>
        <w:spacing w:after="0" w:line="240" w:lineRule="auto"/>
        <w:ind w:firstLine="708"/>
        <w:jc w:val="both"/>
        <w:rPr>
          <w:rFonts w:ascii="Times New Roman" w:hAnsi="Times New Roman"/>
          <w:sz w:val="24"/>
          <w:szCs w:val="24"/>
          <w:lang w:val="ro-RO"/>
        </w:rPr>
      </w:pPr>
      <w:r w:rsidRPr="00606723">
        <w:rPr>
          <w:rFonts w:ascii="Times New Roman" w:hAnsi="Times New Roman"/>
          <w:b/>
          <w:sz w:val="24"/>
          <w:szCs w:val="24"/>
          <w:lang w:val="ro-RO"/>
        </w:rPr>
        <w:t xml:space="preserve">Art. </w:t>
      </w:r>
      <w:r w:rsidR="0060115A">
        <w:rPr>
          <w:rFonts w:ascii="Times New Roman" w:hAnsi="Times New Roman"/>
          <w:b/>
          <w:sz w:val="24"/>
          <w:szCs w:val="24"/>
          <w:lang w:val="ro-RO"/>
        </w:rPr>
        <w:t>I</w:t>
      </w:r>
      <w:r w:rsidRPr="00606723">
        <w:rPr>
          <w:rFonts w:ascii="Times New Roman" w:hAnsi="Times New Roman"/>
          <w:b/>
          <w:sz w:val="24"/>
          <w:szCs w:val="24"/>
          <w:lang w:val="ro-RO"/>
        </w:rPr>
        <w:t>V</w:t>
      </w:r>
      <w:r w:rsidRPr="00606723">
        <w:rPr>
          <w:rFonts w:ascii="Times New Roman" w:hAnsi="Times New Roman"/>
          <w:sz w:val="24"/>
          <w:szCs w:val="24"/>
          <w:lang w:val="ro-RO"/>
        </w:rPr>
        <w:t xml:space="preserve"> – Legea nr. 269-XVI din 12 decembrie 2008 privind aplicarea testării la detectorul comportamentului simulat (poligraf) (Monitorul Oficial al Republicii Moldova, 2009, nr. 57–58, art. 161),</w:t>
      </w:r>
      <w:r w:rsidR="00C77FA1">
        <w:rPr>
          <w:rFonts w:ascii="Times New Roman" w:hAnsi="Times New Roman"/>
          <w:sz w:val="24"/>
          <w:szCs w:val="24"/>
          <w:lang w:val="ro-RO"/>
        </w:rPr>
        <w:t xml:space="preserve"> cu modificările şi completările ulterioare, se modifică după cum urmează:</w:t>
      </w:r>
    </w:p>
    <w:p w:rsidR="007767F8" w:rsidRDefault="007767F8" w:rsidP="001F3311">
      <w:pPr>
        <w:tabs>
          <w:tab w:val="left" w:pos="1080"/>
        </w:tabs>
        <w:spacing w:after="0" w:line="240" w:lineRule="auto"/>
        <w:ind w:firstLine="708"/>
        <w:jc w:val="both"/>
        <w:rPr>
          <w:rStyle w:val="docheader"/>
          <w:rFonts w:ascii="Times New Roman" w:hAnsi="Times New Roman"/>
          <w:b/>
          <w:bCs/>
          <w:sz w:val="24"/>
          <w:szCs w:val="24"/>
          <w:lang w:val="ro-RO"/>
        </w:rPr>
      </w:pPr>
    </w:p>
    <w:p w:rsidR="001F3311" w:rsidRDefault="007767F8" w:rsidP="001F3311">
      <w:pPr>
        <w:numPr>
          <w:ilvl w:val="0"/>
          <w:numId w:val="16"/>
        </w:numPr>
        <w:tabs>
          <w:tab w:val="left" w:pos="1080"/>
        </w:tabs>
        <w:spacing w:after="0" w:line="240" w:lineRule="auto"/>
        <w:ind w:left="0" w:firstLine="708"/>
        <w:jc w:val="both"/>
        <w:rPr>
          <w:rStyle w:val="docheader"/>
          <w:rFonts w:ascii="Times New Roman" w:hAnsi="Times New Roman"/>
          <w:bCs/>
          <w:sz w:val="24"/>
          <w:szCs w:val="24"/>
          <w:lang w:val="ro-RO"/>
        </w:rPr>
      </w:pPr>
      <w:r w:rsidRPr="007767F8">
        <w:rPr>
          <w:rStyle w:val="docheader"/>
          <w:rFonts w:ascii="Times New Roman" w:hAnsi="Times New Roman"/>
          <w:bCs/>
          <w:sz w:val="24"/>
          <w:szCs w:val="24"/>
          <w:lang w:val="ro-RO"/>
        </w:rPr>
        <w:t>Al</w:t>
      </w:r>
      <w:r>
        <w:rPr>
          <w:rStyle w:val="docheader"/>
          <w:rFonts w:ascii="Times New Roman" w:hAnsi="Times New Roman"/>
          <w:bCs/>
          <w:sz w:val="24"/>
          <w:szCs w:val="24"/>
          <w:lang w:val="ro-RO"/>
        </w:rPr>
        <w:t>ineatul (4) al articolului 3 după cuvintele „se acordă” se completează cu textul „</w:t>
      </w:r>
      <w:r w:rsidR="001F3311">
        <w:rPr>
          <w:rStyle w:val="docheader"/>
          <w:rFonts w:ascii="Times New Roman" w:hAnsi="Times New Roman"/>
          <w:bCs/>
          <w:sz w:val="24"/>
          <w:szCs w:val="24"/>
          <w:lang w:val="ro-RO"/>
        </w:rPr>
        <w:t>Consiliului Superior al Magistraturii, Consiliului Superior al Procurorilor,”.</w:t>
      </w:r>
    </w:p>
    <w:p w:rsidR="00825724" w:rsidRDefault="00825724" w:rsidP="00825724">
      <w:pPr>
        <w:tabs>
          <w:tab w:val="left" w:pos="1080"/>
        </w:tabs>
        <w:spacing w:after="0" w:line="240" w:lineRule="auto"/>
        <w:jc w:val="both"/>
        <w:rPr>
          <w:rStyle w:val="docheader"/>
          <w:rFonts w:ascii="Times New Roman" w:hAnsi="Times New Roman"/>
          <w:bCs/>
          <w:sz w:val="24"/>
          <w:szCs w:val="24"/>
          <w:lang w:val="ro-RO"/>
        </w:rPr>
      </w:pPr>
    </w:p>
    <w:p w:rsidR="00C77FA1" w:rsidRDefault="00335B23" w:rsidP="001F3311">
      <w:pPr>
        <w:numPr>
          <w:ilvl w:val="0"/>
          <w:numId w:val="16"/>
        </w:numPr>
        <w:tabs>
          <w:tab w:val="left" w:pos="1080"/>
        </w:tabs>
        <w:spacing w:after="0" w:line="240" w:lineRule="auto"/>
        <w:ind w:left="0" w:firstLine="708"/>
        <w:jc w:val="both"/>
        <w:rPr>
          <w:rStyle w:val="docheader"/>
          <w:rFonts w:ascii="Times New Roman" w:hAnsi="Times New Roman"/>
          <w:bCs/>
          <w:sz w:val="24"/>
          <w:szCs w:val="24"/>
          <w:lang w:val="ro-RO"/>
        </w:rPr>
      </w:pPr>
      <w:r>
        <w:rPr>
          <w:rStyle w:val="docheader"/>
          <w:rFonts w:ascii="Times New Roman" w:hAnsi="Times New Roman"/>
          <w:bCs/>
          <w:sz w:val="24"/>
          <w:szCs w:val="24"/>
          <w:lang w:val="ro-RO"/>
        </w:rPr>
        <w:t>Articolul 4 se completează cu litera a</w:t>
      </w:r>
      <w:r w:rsidRPr="00335B23">
        <w:rPr>
          <w:rStyle w:val="docheader"/>
          <w:rFonts w:ascii="Times New Roman" w:hAnsi="Times New Roman"/>
          <w:bCs/>
          <w:sz w:val="24"/>
          <w:szCs w:val="24"/>
          <w:vertAlign w:val="superscript"/>
          <w:lang w:val="ro-RO"/>
        </w:rPr>
        <w:t>1</w:t>
      </w:r>
      <w:r>
        <w:rPr>
          <w:rStyle w:val="docheader"/>
          <w:rFonts w:ascii="Times New Roman" w:hAnsi="Times New Roman"/>
          <w:bCs/>
          <w:sz w:val="24"/>
          <w:szCs w:val="24"/>
          <w:lang w:val="ro-RO"/>
        </w:rPr>
        <w:t>) cu următorul cuprins:</w:t>
      </w:r>
    </w:p>
    <w:p w:rsidR="00C44BF0" w:rsidRDefault="00335B23" w:rsidP="00C44BF0">
      <w:pPr>
        <w:spacing w:after="0" w:line="240" w:lineRule="auto"/>
        <w:ind w:firstLine="708"/>
        <w:jc w:val="both"/>
        <w:rPr>
          <w:rStyle w:val="docheader"/>
          <w:rFonts w:ascii="Times New Roman" w:hAnsi="Times New Roman"/>
          <w:bCs/>
          <w:sz w:val="24"/>
          <w:szCs w:val="24"/>
          <w:lang w:val="ro-RO"/>
        </w:rPr>
      </w:pPr>
      <w:r>
        <w:rPr>
          <w:rStyle w:val="docheader"/>
          <w:rFonts w:ascii="Times New Roman" w:hAnsi="Times New Roman"/>
          <w:bCs/>
          <w:sz w:val="24"/>
          <w:szCs w:val="24"/>
          <w:lang w:val="ro-RO"/>
        </w:rPr>
        <w:t>„a</w:t>
      </w:r>
      <w:r w:rsidRPr="00335B23">
        <w:rPr>
          <w:rStyle w:val="docheader"/>
          <w:rFonts w:ascii="Times New Roman" w:hAnsi="Times New Roman"/>
          <w:bCs/>
          <w:sz w:val="24"/>
          <w:szCs w:val="24"/>
          <w:vertAlign w:val="superscript"/>
          <w:lang w:val="ro-RO"/>
        </w:rPr>
        <w:t>1</w:t>
      </w:r>
      <w:r>
        <w:rPr>
          <w:rStyle w:val="docheader"/>
          <w:rFonts w:ascii="Times New Roman" w:hAnsi="Times New Roman"/>
          <w:bCs/>
          <w:sz w:val="24"/>
          <w:szCs w:val="24"/>
          <w:lang w:val="ro-RO"/>
        </w:rPr>
        <w:t>) participă la concursul pentru numirea în funcţiile de judecător şi procuror;”.</w:t>
      </w:r>
    </w:p>
    <w:p w:rsidR="00996432" w:rsidRDefault="00996432" w:rsidP="00C44BF0">
      <w:pPr>
        <w:spacing w:after="0" w:line="240" w:lineRule="auto"/>
        <w:ind w:firstLine="708"/>
        <w:jc w:val="both"/>
        <w:rPr>
          <w:rStyle w:val="docheader"/>
          <w:rFonts w:ascii="Times New Roman" w:hAnsi="Times New Roman"/>
          <w:bCs/>
          <w:sz w:val="24"/>
          <w:szCs w:val="24"/>
          <w:lang w:val="ro-RO"/>
        </w:rPr>
      </w:pPr>
    </w:p>
    <w:p w:rsidR="00CA780D" w:rsidRPr="004406D4" w:rsidRDefault="004406D4" w:rsidP="004406D4">
      <w:pPr>
        <w:numPr>
          <w:ilvl w:val="0"/>
          <w:numId w:val="16"/>
        </w:numPr>
        <w:tabs>
          <w:tab w:val="clear" w:pos="1698"/>
          <w:tab w:val="num" w:pos="1080"/>
        </w:tabs>
        <w:spacing w:after="0" w:line="240" w:lineRule="auto"/>
        <w:ind w:left="0" w:firstLine="708"/>
        <w:jc w:val="both"/>
        <w:rPr>
          <w:rStyle w:val="docheader"/>
          <w:rFonts w:ascii="Times New Roman" w:hAnsi="Times New Roman"/>
          <w:bCs/>
          <w:sz w:val="24"/>
          <w:szCs w:val="24"/>
          <w:lang w:val="ro-RO"/>
        </w:rPr>
      </w:pPr>
      <w:r w:rsidRPr="004406D4">
        <w:rPr>
          <w:rStyle w:val="docheader"/>
          <w:rFonts w:ascii="Times New Roman" w:hAnsi="Times New Roman"/>
          <w:bCs/>
          <w:sz w:val="24"/>
          <w:szCs w:val="24"/>
          <w:lang w:val="ro-RO"/>
        </w:rPr>
        <w:t xml:space="preserve">Articolul 7 după cuvîntul „obligatorii” se completează </w:t>
      </w:r>
      <w:r w:rsidR="00966546">
        <w:rPr>
          <w:rStyle w:val="docheader"/>
          <w:rFonts w:ascii="Times New Roman" w:hAnsi="Times New Roman"/>
          <w:bCs/>
          <w:sz w:val="24"/>
          <w:szCs w:val="24"/>
          <w:lang w:val="ro-RO"/>
        </w:rPr>
        <w:t xml:space="preserve">cu textul  „persoanele </w:t>
      </w:r>
      <w:r w:rsidR="00E859E5">
        <w:rPr>
          <w:rStyle w:val="docheader"/>
          <w:rFonts w:ascii="Times New Roman" w:hAnsi="Times New Roman"/>
          <w:bCs/>
          <w:sz w:val="24"/>
          <w:szCs w:val="24"/>
          <w:lang w:val="ro-RO"/>
        </w:rPr>
        <w:t>care participă la concursul pentru numirea în funcţiile de judecător şi procuror”</w:t>
      </w:r>
    </w:p>
    <w:p w:rsidR="00C44BF0" w:rsidRPr="00606723" w:rsidRDefault="00C44BF0" w:rsidP="00C44BF0">
      <w:pPr>
        <w:spacing w:after="0" w:line="240" w:lineRule="auto"/>
        <w:ind w:firstLine="708"/>
        <w:jc w:val="both"/>
        <w:rPr>
          <w:rFonts w:ascii="Times New Roman" w:hAnsi="Times New Roman"/>
          <w:sz w:val="24"/>
          <w:szCs w:val="24"/>
          <w:lang w:val="ro-RO"/>
        </w:rPr>
      </w:pPr>
    </w:p>
    <w:p w:rsidR="00C44BF0" w:rsidRDefault="0060115A" w:rsidP="00C44BF0">
      <w:pPr>
        <w:spacing w:after="0" w:line="240" w:lineRule="auto"/>
        <w:ind w:firstLine="708"/>
        <w:jc w:val="both"/>
        <w:rPr>
          <w:rFonts w:ascii="Times New Roman" w:hAnsi="Times New Roman"/>
          <w:sz w:val="24"/>
          <w:szCs w:val="24"/>
          <w:lang w:val="ro-RO"/>
        </w:rPr>
      </w:pPr>
      <w:r>
        <w:rPr>
          <w:rFonts w:ascii="Times New Roman" w:hAnsi="Times New Roman"/>
          <w:b/>
          <w:sz w:val="24"/>
          <w:szCs w:val="24"/>
          <w:lang w:val="ro-RO"/>
        </w:rPr>
        <w:t>Art. V</w:t>
      </w:r>
      <w:r w:rsidR="00C44BF0" w:rsidRPr="00606723">
        <w:rPr>
          <w:rFonts w:ascii="Times New Roman" w:hAnsi="Times New Roman"/>
          <w:b/>
          <w:sz w:val="24"/>
          <w:szCs w:val="24"/>
          <w:lang w:val="ro-RO"/>
        </w:rPr>
        <w:t xml:space="preserve"> –</w:t>
      </w:r>
      <w:r w:rsidR="00C44BF0" w:rsidRPr="00606723">
        <w:rPr>
          <w:rFonts w:ascii="Times New Roman" w:hAnsi="Times New Roman"/>
          <w:sz w:val="24"/>
          <w:szCs w:val="24"/>
          <w:lang w:val="ro-RO"/>
        </w:rPr>
        <w:t xml:space="preserve"> </w:t>
      </w:r>
      <w:r w:rsidR="009B02F2">
        <w:rPr>
          <w:rFonts w:ascii="Times New Roman" w:hAnsi="Times New Roman"/>
          <w:sz w:val="24"/>
          <w:szCs w:val="24"/>
          <w:lang w:val="ro-RO"/>
        </w:rPr>
        <w:t xml:space="preserve">Articolul 39 din </w:t>
      </w:r>
      <w:r w:rsidR="00C44BF0" w:rsidRPr="00606723">
        <w:rPr>
          <w:rFonts w:ascii="Times New Roman" w:hAnsi="Times New Roman"/>
          <w:sz w:val="24"/>
          <w:szCs w:val="24"/>
          <w:lang w:val="ro-RO"/>
        </w:rPr>
        <w:t xml:space="preserve">Legea nr. 294-XVI din 25 decembrie 2008 cu privire </w:t>
      </w:r>
      <w:smartTag w:uri="urn:schemas-microsoft-com:office:smarttags" w:element="PersonName">
        <w:smartTagPr>
          <w:attr w:name="ProductID" w:val="la Procuratură"/>
        </w:smartTagPr>
        <w:smartTag w:uri="urn:schemas-microsoft-com:office:smarttags" w:element="metricconverter">
          <w:smartTagPr>
            <w:attr w:name="ProductID" w:val="la Procuratură"/>
          </w:smartTagPr>
          <w:r w:rsidR="00C44BF0" w:rsidRPr="00606723">
            <w:rPr>
              <w:rFonts w:ascii="Times New Roman" w:hAnsi="Times New Roman"/>
              <w:sz w:val="24"/>
              <w:szCs w:val="24"/>
              <w:lang w:val="ro-RO"/>
            </w:rPr>
            <w:t>la Procuratură</w:t>
          </w:r>
        </w:smartTag>
      </w:smartTag>
      <w:r w:rsidR="00C44BF0" w:rsidRPr="00606723">
        <w:rPr>
          <w:rFonts w:ascii="Times New Roman" w:hAnsi="Times New Roman"/>
          <w:sz w:val="24"/>
          <w:szCs w:val="24"/>
          <w:lang w:val="ro-RO"/>
        </w:rPr>
        <w:t xml:space="preserve"> (Monitorul Oficial al Republicii Moldova, 2009, nr. 55–56, art. 155), cu modificările ulterioare,</w:t>
      </w:r>
      <w:r w:rsidR="009B02F2">
        <w:rPr>
          <w:rFonts w:ascii="Times New Roman" w:hAnsi="Times New Roman"/>
          <w:sz w:val="24"/>
          <w:szCs w:val="24"/>
          <w:lang w:val="ro-RO"/>
        </w:rPr>
        <w:t xml:space="preserve"> se completează cu alineatul (2</w:t>
      </w:r>
      <w:r w:rsidR="009B02F2" w:rsidRPr="009B02F2">
        <w:rPr>
          <w:rFonts w:ascii="Times New Roman" w:hAnsi="Times New Roman"/>
          <w:sz w:val="24"/>
          <w:szCs w:val="24"/>
          <w:vertAlign w:val="superscript"/>
          <w:lang w:val="ro-RO"/>
        </w:rPr>
        <w:t>1</w:t>
      </w:r>
      <w:r w:rsidR="009B02F2">
        <w:rPr>
          <w:rFonts w:ascii="Times New Roman" w:hAnsi="Times New Roman"/>
          <w:sz w:val="24"/>
          <w:szCs w:val="24"/>
          <w:lang w:val="ro-RO"/>
        </w:rPr>
        <w:t>) cu următorul cuprins:</w:t>
      </w:r>
    </w:p>
    <w:p w:rsidR="00600D5A" w:rsidRDefault="00600D5A" w:rsidP="00C44BF0">
      <w:pPr>
        <w:spacing w:after="0" w:line="240" w:lineRule="auto"/>
        <w:ind w:firstLine="708"/>
        <w:jc w:val="both"/>
        <w:rPr>
          <w:rFonts w:ascii="Times New Roman" w:hAnsi="Times New Roman"/>
          <w:sz w:val="24"/>
          <w:szCs w:val="24"/>
          <w:lang w:val="ro-RO"/>
        </w:rPr>
      </w:pPr>
    </w:p>
    <w:p w:rsidR="009B02F2" w:rsidRPr="00600D5A" w:rsidRDefault="00600D5A" w:rsidP="00C44BF0">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w:t>
      </w:r>
      <w:r w:rsidR="009B02F2" w:rsidRPr="00600D5A">
        <w:rPr>
          <w:rFonts w:ascii="Times New Roman" w:hAnsi="Times New Roman"/>
          <w:sz w:val="24"/>
          <w:szCs w:val="24"/>
          <w:lang w:val="ro-RO"/>
        </w:rPr>
        <w:t>(2</w:t>
      </w:r>
      <w:r w:rsidR="009B02F2" w:rsidRPr="00600D5A">
        <w:rPr>
          <w:rFonts w:ascii="Times New Roman" w:hAnsi="Times New Roman"/>
          <w:sz w:val="24"/>
          <w:szCs w:val="24"/>
          <w:vertAlign w:val="superscript"/>
          <w:lang w:val="ro-RO"/>
        </w:rPr>
        <w:t>1</w:t>
      </w:r>
      <w:r w:rsidR="009B02F2" w:rsidRPr="00600D5A">
        <w:rPr>
          <w:rFonts w:ascii="Times New Roman" w:hAnsi="Times New Roman"/>
          <w:sz w:val="24"/>
          <w:szCs w:val="24"/>
          <w:lang w:val="ro-RO"/>
        </w:rPr>
        <w:t>) La momentul depunerii setului de acte, solicitantul este informat despre iniţierea verificării conform Legii nr. 271-XVI din 18 decembrie 2008 privind verificarea titularilor şi a candidaţilor la funcţii publice</w:t>
      </w:r>
      <w:r>
        <w:rPr>
          <w:rFonts w:ascii="Times New Roman" w:hAnsi="Times New Roman"/>
          <w:sz w:val="24"/>
          <w:szCs w:val="24"/>
          <w:lang w:val="ro-RO"/>
        </w:rPr>
        <w:t>, care va include în mod obligatori testarea la poligraf conform Legii nr</w:t>
      </w:r>
      <w:r w:rsidR="00EF007A">
        <w:rPr>
          <w:rFonts w:ascii="Times New Roman" w:hAnsi="Times New Roman"/>
          <w:sz w:val="24"/>
          <w:szCs w:val="24"/>
          <w:lang w:val="ro-RO"/>
        </w:rPr>
        <w:t>. 269 din 12 decembrie 2008</w:t>
      </w:r>
      <w:r w:rsidR="007A3BC6">
        <w:rPr>
          <w:rFonts w:ascii="Times New Roman" w:hAnsi="Times New Roman"/>
          <w:sz w:val="24"/>
          <w:szCs w:val="24"/>
          <w:lang w:val="ro-RO"/>
        </w:rPr>
        <w:t xml:space="preserve"> privind aplicarea testării la detectorul comportamentului simulat (poligraf) </w:t>
      </w:r>
      <w:r w:rsidR="009B02F2" w:rsidRPr="00600D5A">
        <w:rPr>
          <w:rFonts w:ascii="Times New Roman" w:hAnsi="Times New Roman"/>
          <w:sz w:val="24"/>
          <w:szCs w:val="24"/>
          <w:lang w:val="ro-RO"/>
        </w:rPr>
        <w:t>şi semnează declaraţia de verificare</w:t>
      </w:r>
      <w:r w:rsidR="00EF007A">
        <w:rPr>
          <w:rFonts w:ascii="Times New Roman" w:hAnsi="Times New Roman"/>
          <w:sz w:val="24"/>
          <w:szCs w:val="24"/>
          <w:lang w:val="ro-RO"/>
        </w:rPr>
        <w:t>”</w:t>
      </w:r>
      <w:r w:rsidR="009B02F2" w:rsidRPr="00600D5A">
        <w:rPr>
          <w:rFonts w:ascii="Times New Roman" w:hAnsi="Times New Roman"/>
          <w:sz w:val="24"/>
          <w:szCs w:val="24"/>
          <w:lang w:val="ro-RO"/>
        </w:rPr>
        <w:t>.</w:t>
      </w:r>
    </w:p>
    <w:p w:rsidR="006D7837" w:rsidRDefault="006D7837" w:rsidP="00ED78E5">
      <w:pPr>
        <w:spacing w:after="0" w:line="240" w:lineRule="auto"/>
        <w:ind w:firstLine="360"/>
        <w:jc w:val="both"/>
        <w:rPr>
          <w:rFonts w:ascii="Times New Roman" w:hAnsi="Times New Roman"/>
          <w:sz w:val="24"/>
          <w:szCs w:val="24"/>
          <w:lang w:val="ro-RO"/>
        </w:rPr>
      </w:pPr>
    </w:p>
    <w:p w:rsidR="00996432" w:rsidRDefault="00996432" w:rsidP="00ED78E5">
      <w:pPr>
        <w:spacing w:after="0" w:line="240" w:lineRule="auto"/>
        <w:ind w:firstLine="360"/>
        <w:jc w:val="both"/>
        <w:rPr>
          <w:rFonts w:ascii="Times New Roman" w:hAnsi="Times New Roman"/>
          <w:sz w:val="24"/>
          <w:szCs w:val="24"/>
          <w:lang w:val="ro-RO"/>
        </w:rPr>
      </w:pPr>
    </w:p>
    <w:p w:rsidR="00996432" w:rsidRPr="00606723" w:rsidRDefault="00996432" w:rsidP="00ED78E5">
      <w:pPr>
        <w:spacing w:after="0" w:line="240" w:lineRule="auto"/>
        <w:ind w:firstLine="360"/>
        <w:jc w:val="both"/>
        <w:rPr>
          <w:rFonts w:ascii="Times New Roman" w:hAnsi="Times New Roman"/>
          <w:sz w:val="24"/>
          <w:szCs w:val="24"/>
          <w:lang w:val="ro-RO"/>
        </w:rPr>
      </w:pPr>
    </w:p>
    <w:p w:rsidR="00996432" w:rsidRDefault="00996432" w:rsidP="00EF007A">
      <w:pPr>
        <w:spacing w:after="0" w:line="240" w:lineRule="auto"/>
        <w:jc w:val="right"/>
        <w:rPr>
          <w:rFonts w:ascii="Times New Roman" w:hAnsi="Times New Roman"/>
          <w:b/>
          <w:sz w:val="24"/>
          <w:szCs w:val="24"/>
          <w:lang w:val="ro-RO"/>
        </w:rPr>
      </w:pPr>
    </w:p>
    <w:p w:rsidR="00006A33" w:rsidRPr="00606723" w:rsidRDefault="00EF007A" w:rsidP="00996432">
      <w:pPr>
        <w:spacing w:after="0" w:line="240" w:lineRule="auto"/>
        <w:jc w:val="right"/>
        <w:rPr>
          <w:rFonts w:ascii="Times New Roman" w:hAnsi="Times New Roman"/>
          <w:sz w:val="24"/>
          <w:szCs w:val="24"/>
          <w:lang w:val="ro-RO"/>
        </w:rPr>
      </w:pPr>
      <w:r w:rsidRPr="00EF007A">
        <w:rPr>
          <w:rFonts w:ascii="Times New Roman" w:hAnsi="Times New Roman"/>
          <w:b/>
          <w:sz w:val="24"/>
          <w:szCs w:val="24"/>
          <w:lang w:val="ro-RO"/>
        </w:rPr>
        <w:t>Preşedintele Parlamentului</w:t>
      </w:r>
      <w:r w:rsidR="006253B4" w:rsidRPr="00606723">
        <w:rPr>
          <w:rFonts w:ascii="Times New Roman" w:hAnsi="Times New Roman"/>
          <w:sz w:val="24"/>
          <w:szCs w:val="24"/>
          <w:lang w:val="ro-RO"/>
        </w:rPr>
        <w:t xml:space="preserve"> </w:t>
      </w:r>
    </w:p>
    <w:sectPr w:rsidR="00006A33" w:rsidRPr="00606723" w:rsidSect="00256A6C">
      <w:footerReference w:type="even" r:id="rId7"/>
      <w:footerReference w:type="default" r:id="rId8"/>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57" w:rsidRDefault="00C02457">
      <w:r>
        <w:separator/>
      </w:r>
    </w:p>
  </w:endnote>
  <w:endnote w:type="continuationSeparator" w:id="0">
    <w:p w:rsidR="00C02457" w:rsidRDefault="00C02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7B" w:rsidRDefault="0005257B" w:rsidP="00492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57B" w:rsidRDefault="0005257B" w:rsidP="00C426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7B" w:rsidRDefault="0005257B" w:rsidP="00492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D4C">
      <w:rPr>
        <w:rStyle w:val="PageNumber"/>
        <w:noProof/>
      </w:rPr>
      <w:t>1</w:t>
    </w:r>
    <w:r>
      <w:rPr>
        <w:rStyle w:val="PageNumber"/>
      </w:rPr>
      <w:fldChar w:fldCharType="end"/>
    </w:r>
  </w:p>
  <w:p w:rsidR="0005257B" w:rsidRDefault="0005257B" w:rsidP="00C426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57" w:rsidRDefault="00C02457">
      <w:r>
        <w:separator/>
      </w:r>
    </w:p>
  </w:footnote>
  <w:footnote w:type="continuationSeparator" w:id="0">
    <w:p w:rsidR="00C02457" w:rsidRDefault="00C02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3FF"/>
    <w:multiLevelType w:val="hybridMultilevel"/>
    <w:tmpl w:val="771AB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D0266"/>
    <w:multiLevelType w:val="hybridMultilevel"/>
    <w:tmpl w:val="905A7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3688B"/>
    <w:multiLevelType w:val="hybridMultilevel"/>
    <w:tmpl w:val="C3D68328"/>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0C000034"/>
    <w:multiLevelType w:val="hybridMultilevel"/>
    <w:tmpl w:val="FEDE0EBA"/>
    <w:lvl w:ilvl="0" w:tplc="7052661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1011150"/>
    <w:multiLevelType w:val="hybridMultilevel"/>
    <w:tmpl w:val="8482EB4C"/>
    <w:lvl w:ilvl="0" w:tplc="49CC7F0C">
      <w:start w:val="1"/>
      <w:numFmt w:val="decimal"/>
      <w:lvlText w:val="%1."/>
      <w:lvlJc w:val="left"/>
      <w:pPr>
        <w:tabs>
          <w:tab w:val="num" w:pos="1698"/>
        </w:tabs>
        <w:ind w:left="1698" w:hanging="99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6E7468B"/>
    <w:multiLevelType w:val="hybridMultilevel"/>
    <w:tmpl w:val="9C20E312"/>
    <w:lvl w:ilvl="0" w:tplc="610A28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71A6E50"/>
    <w:multiLevelType w:val="hybridMultilevel"/>
    <w:tmpl w:val="F87A0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294BCF"/>
    <w:multiLevelType w:val="hybridMultilevel"/>
    <w:tmpl w:val="DF5E9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2974D1"/>
    <w:multiLevelType w:val="hybridMultilevel"/>
    <w:tmpl w:val="A90C9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A6B45"/>
    <w:multiLevelType w:val="hybridMultilevel"/>
    <w:tmpl w:val="4C304B96"/>
    <w:lvl w:ilvl="0" w:tplc="1B620156">
      <w:start w:val="1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44B5E7A"/>
    <w:multiLevelType w:val="hybridMultilevel"/>
    <w:tmpl w:val="D36EA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EF1C0A"/>
    <w:multiLevelType w:val="hybridMultilevel"/>
    <w:tmpl w:val="B2307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F1224D"/>
    <w:multiLevelType w:val="hybridMultilevel"/>
    <w:tmpl w:val="3DE00E2C"/>
    <w:lvl w:ilvl="0" w:tplc="D18C9DF6">
      <w:start w:val="1"/>
      <w:numFmt w:val="decimal"/>
      <w:lvlText w:val="%1."/>
      <w:lvlJc w:val="left"/>
      <w:pPr>
        <w:ind w:left="540" w:hanging="360"/>
      </w:pPr>
      <w:rPr>
        <w:b/>
      </w:rPr>
    </w:lvl>
    <w:lvl w:ilvl="1" w:tplc="E9C6EEB8">
      <w:start w:val="1"/>
      <w:numFmt w:val="lowerLetter"/>
      <w:lvlText w:val="%2)"/>
      <w:lvlJc w:val="left"/>
      <w:pPr>
        <w:tabs>
          <w:tab w:val="num" w:pos="1440"/>
        </w:tabs>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2419DF"/>
    <w:multiLevelType w:val="hybridMultilevel"/>
    <w:tmpl w:val="E49A8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B36422"/>
    <w:multiLevelType w:val="hybridMultilevel"/>
    <w:tmpl w:val="0A34E6F6"/>
    <w:lvl w:ilvl="0" w:tplc="FD368E28">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71267E2A"/>
    <w:multiLevelType w:val="hybridMultilevel"/>
    <w:tmpl w:val="E6DE812E"/>
    <w:lvl w:ilvl="0" w:tplc="54A6EB7C">
      <w:start w:val="13"/>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6D630B0"/>
    <w:multiLevelType w:val="hybridMultilevel"/>
    <w:tmpl w:val="07988E3E"/>
    <w:lvl w:ilvl="0" w:tplc="4E0EED06">
      <w:start w:val="3"/>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6E56FA0"/>
    <w:multiLevelType w:val="hybridMultilevel"/>
    <w:tmpl w:val="BA3AFA42"/>
    <w:lvl w:ilvl="0" w:tplc="4C26CAD4">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F610CA2"/>
    <w:multiLevelType w:val="hybridMultilevel"/>
    <w:tmpl w:val="27A439DA"/>
    <w:lvl w:ilvl="0" w:tplc="99886ADA">
      <w:start w:val="1"/>
      <w:numFmt w:val="lowerLetter"/>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2"/>
  </w:num>
  <w:num w:numId="2">
    <w:abstractNumId w:val="1"/>
  </w:num>
  <w:num w:numId="3">
    <w:abstractNumId w:val="10"/>
  </w:num>
  <w:num w:numId="4">
    <w:abstractNumId w:val="6"/>
  </w:num>
  <w:num w:numId="5">
    <w:abstractNumId w:val="13"/>
  </w:num>
  <w:num w:numId="6">
    <w:abstractNumId w:val="7"/>
  </w:num>
  <w:num w:numId="7">
    <w:abstractNumId w:val="0"/>
  </w:num>
  <w:num w:numId="8">
    <w:abstractNumId w:val="8"/>
  </w:num>
  <w:num w:numId="9">
    <w:abstractNumId w:val="11"/>
  </w:num>
  <w:num w:numId="10">
    <w:abstractNumId w:val="5"/>
  </w:num>
  <w:num w:numId="11">
    <w:abstractNumId w:val="9"/>
  </w:num>
  <w:num w:numId="12">
    <w:abstractNumId w:val="3"/>
  </w:num>
  <w:num w:numId="13">
    <w:abstractNumId w:val="14"/>
  </w:num>
  <w:num w:numId="14">
    <w:abstractNumId w:val="16"/>
  </w:num>
  <w:num w:numId="15">
    <w:abstractNumId w:val="17"/>
  </w:num>
  <w:num w:numId="16">
    <w:abstractNumId w:val="4"/>
  </w:num>
  <w:num w:numId="17">
    <w:abstractNumId w:val="2"/>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4B063A"/>
    <w:rsid w:val="00006A33"/>
    <w:rsid w:val="000123A3"/>
    <w:rsid w:val="000127F7"/>
    <w:rsid w:val="00020452"/>
    <w:rsid w:val="00022FC0"/>
    <w:rsid w:val="000478CB"/>
    <w:rsid w:val="0005257B"/>
    <w:rsid w:val="000767CD"/>
    <w:rsid w:val="00085924"/>
    <w:rsid w:val="00096409"/>
    <w:rsid w:val="00096AFE"/>
    <w:rsid w:val="000C789A"/>
    <w:rsid w:val="000D0D9E"/>
    <w:rsid w:val="000D6D36"/>
    <w:rsid w:val="000E5665"/>
    <w:rsid w:val="000F1B47"/>
    <w:rsid w:val="000F3D4C"/>
    <w:rsid w:val="000F67A0"/>
    <w:rsid w:val="000F7C73"/>
    <w:rsid w:val="001035FB"/>
    <w:rsid w:val="00115268"/>
    <w:rsid w:val="00117181"/>
    <w:rsid w:val="00134CE5"/>
    <w:rsid w:val="001351D4"/>
    <w:rsid w:val="001375B1"/>
    <w:rsid w:val="001552BF"/>
    <w:rsid w:val="001747A4"/>
    <w:rsid w:val="00180AA1"/>
    <w:rsid w:val="001810B8"/>
    <w:rsid w:val="00187F0A"/>
    <w:rsid w:val="00191D14"/>
    <w:rsid w:val="00192BCC"/>
    <w:rsid w:val="001A2740"/>
    <w:rsid w:val="001A5706"/>
    <w:rsid w:val="001A652E"/>
    <w:rsid w:val="001B3B06"/>
    <w:rsid w:val="001C1656"/>
    <w:rsid w:val="001D14DC"/>
    <w:rsid w:val="001E304F"/>
    <w:rsid w:val="001F3311"/>
    <w:rsid w:val="002008C6"/>
    <w:rsid w:val="002100E6"/>
    <w:rsid w:val="002154FF"/>
    <w:rsid w:val="0022484E"/>
    <w:rsid w:val="00226360"/>
    <w:rsid w:val="00236312"/>
    <w:rsid w:val="002421DC"/>
    <w:rsid w:val="00256A6C"/>
    <w:rsid w:val="00264482"/>
    <w:rsid w:val="00271EC5"/>
    <w:rsid w:val="002727BE"/>
    <w:rsid w:val="00273235"/>
    <w:rsid w:val="00277A9F"/>
    <w:rsid w:val="002936AF"/>
    <w:rsid w:val="002A1B99"/>
    <w:rsid w:val="002A312E"/>
    <w:rsid w:val="002B1F23"/>
    <w:rsid w:val="002C0F6C"/>
    <w:rsid w:val="002D6A95"/>
    <w:rsid w:val="002D701B"/>
    <w:rsid w:val="002E5580"/>
    <w:rsid w:val="003003DF"/>
    <w:rsid w:val="00301289"/>
    <w:rsid w:val="003043BC"/>
    <w:rsid w:val="00307AEE"/>
    <w:rsid w:val="00314FC5"/>
    <w:rsid w:val="00335B23"/>
    <w:rsid w:val="00367833"/>
    <w:rsid w:val="00370202"/>
    <w:rsid w:val="003720A6"/>
    <w:rsid w:val="00380C50"/>
    <w:rsid w:val="00386D13"/>
    <w:rsid w:val="0039554E"/>
    <w:rsid w:val="003B3C97"/>
    <w:rsid w:val="003C3424"/>
    <w:rsid w:val="003C3EE6"/>
    <w:rsid w:val="003D4D39"/>
    <w:rsid w:val="003D5953"/>
    <w:rsid w:val="003E3FFA"/>
    <w:rsid w:val="003F1FA8"/>
    <w:rsid w:val="003F264C"/>
    <w:rsid w:val="003F6B12"/>
    <w:rsid w:val="00401A23"/>
    <w:rsid w:val="00402EDF"/>
    <w:rsid w:val="00403F9C"/>
    <w:rsid w:val="004044B9"/>
    <w:rsid w:val="00412E08"/>
    <w:rsid w:val="00415964"/>
    <w:rsid w:val="00416721"/>
    <w:rsid w:val="004406D4"/>
    <w:rsid w:val="00457D20"/>
    <w:rsid w:val="00465176"/>
    <w:rsid w:val="00471F68"/>
    <w:rsid w:val="00471FE5"/>
    <w:rsid w:val="004750B7"/>
    <w:rsid w:val="004763D0"/>
    <w:rsid w:val="004861ED"/>
    <w:rsid w:val="004920B3"/>
    <w:rsid w:val="00496D8B"/>
    <w:rsid w:val="004A2141"/>
    <w:rsid w:val="004B063A"/>
    <w:rsid w:val="004B4B16"/>
    <w:rsid w:val="004B7DE8"/>
    <w:rsid w:val="004C23D1"/>
    <w:rsid w:val="004C26B9"/>
    <w:rsid w:val="004D30F1"/>
    <w:rsid w:val="004E5A77"/>
    <w:rsid w:val="004E5CB6"/>
    <w:rsid w:val="004F290E"/>
    <w:rsid w:val="00501691"/>
    <w:rsid w:val="00506845"/>
    <w:rsid w:val="005148CD"/>
    <w:rsid w:val="00525645"/>
    <w:rsid w:val="00527B9F"/>
    <w:rsid w:val="00544659"/>
    <w:rsid w:val="005556EC"/>
    <w:rsid w:val="00560AD7"/>
    <w:rsid w:val="00565FA6"/>
    <w:rsid w:val="00570A66"/>
    <w:rsid w:val="0058545A"/>
    <w:rsid w:val="00587D21"/>
    <w:rsid w:val="00594A68"/>
    <w:rsid w:val="005A6E11"/>
    <w:rsid w:val="005C7990"/>
    <w:rsid w:val="005E336A"/>
    <w:rsid w:val="00600D5A"/>
    <w:rsid w:val="0060115A"/>
    <w:rsid w:val="00605E47"/>
    <w:rsid w:val="00606723"/>
    <w:rsid w:val="006253B4"/>
    <w:rsid w:val="00626B6B"/>
    <w:rsid w:val="006308FF"/>
    <w:rsid w:val="00634AE0"/>
    <w:rsid w:val="006430BD"/>
    <w:rsid w:val="006662F3"/>
    <w:rsid w:val="006740DF"/>
    <w:rsid w:val="00690F07"/>
    <w:rsid w:val="00691792"/>
    <w:rsid w:val="0069399B"/>
    <w:rsid w:val="006A28F0"/>
    <w:rsid w:val="006B253C"/>
    <w:rsid w:val="006B7D2D"/>
    <w:rsid w:val="006C1298"/>
    <w:rsid w:val="006D7837"/>
    <w:rsid w:val="006E1A1B"/>
    <w:rsid w:val="006E4D36"/>
    <w:rsid w:val="006E5433"/>
    <w:rsid w:val="006E60F2"/>
    <w:rsid w:val="00717646"/>
    <w:rsid w:val="00721100"/>
    <w:rsid w:val="00722E01"/>
    <w:rsid w:val="00726613"/>
    <w:rsid w:val="0073260C"/>
    <w:rsid w:val="00742E01"/>
    <w:rsid w:val="007449A7"/>
    <w:rsid w:val="007506C3"/>
    <w:rsid w:val="00756510"/>
    <w:rsid w:val="00756B4C"/>
    <w:rsid w:val="007667FC"/>
    <w:rsid w:val="007767F8"/>
    <w:rsid w:val="007776DE"/>
    <w:rsid w:val="007806A0"/>
    <w:rsid w:val="00786E98"/>
    <w:rsid w:val="007A3BC6"/>
    <w:rsid w:val="007A668D"/>
    <w:rsid w:val="007C59D4"/>
    <w:rsid w:val="007D4537"/>
    <w:rsid w:val="007D796B"/>
    <w:rsid w:val="007E12D6"/>
    <w:rsid w:val="007E3C5B"/>
    <w:rsid w:val="007E5A4B"/>
    <w:rsid w:val="007F21E7"/>
    <w:rsid w:val="008022A0"/>
    <w:rsid w:val="00821379"/>
    <w:rsid w:val="00825724"/>
    <w:rsid w:val="008349CE"/>
    <w:rsid w:val="00835813"/>
    <w:rsid w:val="008A3E3C"/>
    <w:rsid w:val="008A5C09"/>
    <w:rsid w:val="008B1575"/>
    <w:rsid w:val="008C1AC1"/>
    <w:rsid w:val="008C5765"/>
    <w:rsid w:val="008C7400"/>
    <w:rsid w:val="008D24A0"/>
    <w:rsid w:val="008D6DF1"/>
    <w:rsid w:val="008E1DD7"/>
    <w:rsid w:val="008E5FF7"/>
    <w:rsid w:val="008F2891"/>
    <w:rsid w:val="008F6E07"/>
    <w:rsid w:val="00901A3C"/>
    <w:rsid w:val="00903F7E"/>
    <w:rsid w:val="00931C71"/>
    <w:rsid w:val="00966546"/>
    <w:rsid w:val="009679AB"/>
    <w:rsid w:val="00971673"/>
    <w:rsid w:val="00983053"/>
    <w:rsid w:val="0098709F"/>
    <w:rsid w:val="0099363B"/>
    <w:rsid w:val="009963AE"/>
    <w:rsid w:val="00996432"/>
    <w:rsid w:val="009A0C8E"/>
    <w:rsid w:val="009B02F2"/>
    <w:rsid w:val="009B28C5"/>
    <w:rsid w:val="009B74A8"/>
    <w:rsid w:val="009C173B"/>
    <w:rsid w:val="009E673A"/>
    <w:rsid w:val="009F1332"/>
    <w:rsid w:val="009F4D34"/>
    <w:rsid w:val="00A13B7A"/>
    <w:rsid w:val="00A2134B"/>
    <w:rsid w:val="00A27DD7"/>
    <w:rsid w:val="00A402D8"/>
    <w:rsid w:val="00A714C0"/>
    <w:rsid w:val="00AA1E6A"/>
    <w:rsid w:val="00AA5D64"/>
    <w:rsid w:val="00AC7937"/>
    <w:rsid w:val="00AE1AF6"/>
    <w:rsid w:val="00AF203A"/>
    <w:rsid w:val="00AF21A7"/>
    <w:rsid w:val="00B036D6"/>
    <w:rsid w:val="00B25129"/>
    <w:rsid w:val="00B26F14"/>
    <w:rsid w:val="00B30397"/>
    <w:rsid w:val="00B348B0"/>
    <w:rsid w:val="00B34E46"/>
    <w:rsid w:val="00B41B2A"/>
    <w:rsid w:val="00B470D1"/>
    <w:rsid w:val="00B62E19"/>
    <w:rsid w:val="00B6410E"/>
    <w:rsid w:val="00B6649B"/>
    <w:rsid w:val="00B74EC3"/>
    <w:rsid w:val="00B86843"/>
    <w:rsid w:val="00B948FE"/>
    <w:rsid w:val="00BA0EBE"/>
    <w:rsid w:val="00BC13EF"/>
    <w:rsid w:val="00BC334C"/>
    <w:rsid w:val="00BE3319"/>
    <w:rsid w:val="00BE4E1A"/>
    <w:rsid w:val="00BF01F9"/>
    <w:rsid w:val="00BF4ED0"/>
    <w:rsid w:val="00BF7C19"/>
    <w:rsid w:val="00C02457"/>
    <w:rsid w:val="00C0655A"/>
    <w:rsid w:val="00C07825"/>
    <w:rsid w:val="00C2245D"/>
    <w:rsid w:val="00C25534"/>
    <w:rsid w:val="00C32687"/>
    <w:rsid w:val="00C35116"/>
    <w:rsid w:val="00C426BE"/>
    <w:rsid w:val="00C42D3B"/>
    <w:rsid w:val="00C44BF0"/>
    <w:rsid w:val="00C44C92"/>
    <w:rsid w:val="00C52C58"/>
    <w:rsid w:val="00C57BFF"/>
    <w:rsid w:val="00C65159"/>
    <w:rsid w:val="00C661A1"/>
    <w:rsid w:val="00C77FA1"/>
    <w:rsid w:val="00C815FE"/>
    <w:rsid w:val="00C930E5"/>
    <w:rsid w:val="00CA4F40"/>
    <w:rsid w:val="00CA780D"/>
    <w:rsid w:val="00CB315F"/>
    <w:rsid w:val="00CC07B4"/>
    <w:rsid w:val="00CD3128"/>
    <w:rsid w:val="00CD47D7"/>
    <w:rsid w:val="00CD5ABE"/>
    <w:rsid w:val="00CF425B"/>
    <w:rsid w:val="00CF7F8F"/>
    <w:rsid w:val="00D04A02"/>
    <w:rsid w:val="00D11969"/>
    <w:rsid w:val="00D12968"/>
    <w:rsid w:val="00D211EF"/>
    <w:rsid w:val="00D41B28"/>
    <w:rsid w:val="00D51767"/>
    <w:rsid w:val="00D54347"/>
    <w:rsid w:val="00D56281"/>
    <w:rsid w:val="00D77ACE"/>
    <w:rsid w:val="00D9410D"/>
    <w:rsid w:val="00D955DB"/>
    <w:rsid w:val="00DB5125"/>
    <w:rsid w:val="00DD061A"/>
    <w:rsid w:val="00DE1529"/>
    <w:rsid w:val="00DF43E9"/>
    <w:rsid w:val="00E1666E"/>
    <w:rsid w:val="00E2062C"/>
    <w:rsid w:val="00E31370"/>
    <w:rsid w:val="00E32EF2"/>
    <w:rsid w:val="00E34752"/>
    <w:rsid w:val="00E36E67"/>
    <w:rsid w:val="00E608AB"/>
    <w:rsid w:val="00E621D6"/>
    <w:rsid w:val="00E67053"/>
    <w:rsid w:val="00E701A1"/>
    <w:rsid w:val="00E706C0"/>
    <w:rsid w:val="00E70AEE"/>
    <w:rsid w:val="00E859E5"/>
    <w:rsid w:val="00E86C5A"/>
    <w:rsid w:val="00E93EB4"/>
    <w:rsid w:val="00E95789"/>
    <w:rsid w:val="00EA41D0"/>
    <w:rsid w:val="00ED78E5"/>
    <w:rsid w:val="00EE3D94"/>
    <w:rsid w:val="00EF007A"/>
    <w:rsid w:val="00EF7269"/>
    <w:rsid w:val="00F0565F"/>
    <w:rsid w:val="00F07162"/>
    <w:rsid w:val="00F0764E"/>
    <w:rsid w:val="00F143C3"/>
    <w:rsid w:val="00F3734C"/>
    <w:rsid w:val="00F42217"/>
    <w:rsid w:val="00F44B11"/>
    <w:rsid w:val="00F60456"/>
    <w:rsid w:val="00F70221"/>
    <w:rsid w:val="00F87A43"/>
    <w:rsid w:val="00F9340C"/>
    <w:rsid w:val="00F93EF3"/>
    <w:rsid w:val="00FB28B8"/>
    <w:rsid w:val="00FD0ECF"/>
    <w:rsid w:val="00FD4571"/>
    <w:rsid w:val="00FE22A9"/>
    <w:rsid w:val="00FE4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бзац списка"/>
    <w:basedOn w:val="Normal"/>
    <w:uiPriority w:val="34"/>
    <w:qFormat/>
    <w:rsid w:val="004B063A"/>
    <w:pPr>
      <w:ind w:left="720"/>
      <w:contextualSpacing/>
    </w:pPr>
  </w:style>
  <w:style w:type="paragraph" w:styleId="BalloonText">
    <w:name w:val="Balloon Text"/>
    <w:basedOn w:val="Normal"/>
    <w:semiHidden/>
    <w:rsid w:val="004B4B16"/>
    <w:rPr>
      <w:rFonts w:ascii="Tahoma" w:hAnsi="Tahoma" w:cs="Tahoma"/>
      <w:sz w:val="16"/>
      <w:szCs w:val="16"/>
    </w:rPr>
  </w:style>
  <w:style w:type="character" w:customStyle="1" w:styleId="docheader">
    <w:name w:val="doc_header"/>
    <w:basedOn w:val="DefaultParagraphFont"/>
    <w:rsid w:val="00C44BF0"/>
  </w:style>
  <w:style w:type="paragraph" w:styleId="Footer">
    <w:name w:val="footer"/>
    <w:basedOn w:val="Normal"/>
    <w:rsid w:val="00C426BE"/>
    <w:pPr>
      <w:tabs>
        <w:tab w:val="center" w:pos="4677"/>
        <w:tab w:val="right" w:pos="9355"/>
      </w:tabs>
    </w:pPr>
  </w:style>
  <w:style w:type="character" w:styleId="PageNumber">
    <w:name w:val="page number"/>
    <w:basedOn w:val="DefaultParagraphFont"/>
    <w:rsid w:val="00C426BE"/>
  </w:style>
  <w:style w:type="paragraph" w:styleId="NormalWeb">
    <w:name w:val="Normal (Web)"/>
    <w:basedOn w:val="Normal"/>
    <w:rsid w:val="00192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rsid w:val="00192BCC"/>
  </w:style>
  <w:style w:type="character" w:styleId="Emphasis">
    <w:name w:val="Emphasis"/>
    <w:basedOn w:val="DefaultParagraphFont"/>
    <w:qFormat/>
    <w:rsid w:val="00192BC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2840</Words>
  <Characters>16191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Proiect</vt:lpstr>
    </vt:vector>
  </TitlesOfParts>
  <Company>Microsoft</Company>
  <LinksUpToDate>false</LinksUpToDate>
  <CharactersWithSpaces>18994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admin</dc:creator>
  <cp:keywords/>
  <cp:lastModifiedBy>pc</cp:lastModifiedBy>
  <cp:revision>2</cp:revision>
  <cp:lastPrinted>2012-11-26T06:20:00Z</cp:lastPrinted>
  <dcterms:created xsi:type="dcterms:W3CDTF">2012-12-06T18:51:00Z</dcterms:created>
  <dcterms:modified xsi:type="dcterms:W3CDTF">2012-12-06T18:51:00Z</dcterms:modified>
</cp:coreProperties>
</file>